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6"/>
        <w:spacing w:before="6000"/>
        <w:jc w:val="center"/>
        <w:rPr>
          <w:rFonts w:ascii="Times New Roman" w:hAnsi="Times New Roman"/>
          <w:b/>
          <w:bCs/>
          <w:sz w:val="32"/>
          <w:szCs w:val="32"/>
          <w:lang w:val="en-GB"/>
        </w:rPr>
      </w:pPr>
      <w:bookmarkStart w:id="0" w:name="_Hlk530477633"/>
      <w:bookmarkStart w:id="1" w:name="_Hlk18584233"/>
      <w:bookmarkStart w:id="111" w:name="_GoBack"/>
      <w:bookmarkEnd w:id="111"/>
      <w:r>
        <w:rPr>
          <w:rFonts w:ascii="Times New Roman" w:hAnsi="Times New Roman"/>
          <w:b/>
          <w:bCs/>
          <w:sz w:val="32"/>
          <w:szCs w:val="32"/>
          <w:lang w:val="en-GB"/>
        </w:rPr>
        <w:t xml:space="preserve">CONTRACT FOR </w:t>
      </w:r>
      <w:bookmarkEnd w:id="0"/>
      <w:r>
        <w:rPr>
          <w:rFonts w:ascii="Times New Roman" w:hAnsi="Times New Roman"/>
          <w:b/>
          <w:bCs/>
          <w:sz w:val="32"/>
          <w:szCs w:val="32"/>
          <w:lang w:val="en-GB"/>
        </w:rPr>
        <w:t>THE SUPPLY OF GOODS</w:t>
      </w:r>
    </w:p>
    <w:p>
      <w:pPr>
        <w:spacing w:before="0"/>
        <w:jc w:val="center"/>
        <w:rPr>
          <w:b/>
          <w:bCs/>
          <w:sz w:val="32"/>
          <w:szCs w:val="32"/>
          <w:lang w:val="en-GB"/>
        </w:rPr>
      </w:pPr>
    </w:p>
    <w:p>
      <w:pPr>
        <w:spacing w:before="0"/>
        <w:jc w:val="center"/>
        <w:rPr>
          <w:b/>
          <w:bCs/>
          <w:sz w:val="32"/>
          <w:szCs w:val="32"/>
          <w:lang w:val="en-GB"/>
        </w:rPr>
      </w:pPr>
      <w:r>
        <w:rPr>
          <w:b/>
          <w:bCs/>
          <w:sz w:val="32"/>
          <w:szCs w:val="32"/>
          <w:lang w:val="en-GB"/>
        </w:rPr>
        <w:t>GENERAL CONTRACT CONDITIONS</w:t>
      </w:r>
    </w:p>
    <w:bookmarkEnd w:id="1"/>
    <w:p>
      <w:pPr>
        <w:pStyle w:val="56"/>
        <w:spacing w:before="6000"/>
        <w:jc w:val="center"/>
        <w:rPr>
          <w:rFonts w:ascii="Times New Roman" w:hAnsi="Times New Roman"/>
          <w:b/>
          <w:bCs/>
          <w:sz w:val="32"/>
          <w:szCs w:val="32"/>
          <w:lang w:val="en-GB"/>
        </w:rPr>
      </w:pPr>
      <w:r>
        <w:rPr>
          <w:rFonts w:ascii="Times New Roman" w:hAnsi="Times New Roman"/>
          <w:b/>
          <w:bCs/>
          <w:sz w:val="32"/>
          <w:szCs w:val="32"/>
          <w:lang w:val="en-GB"/>
        </w:rPr>
        <w:br w:type="page"/>
      </w:r>
    </w:p>
    <w:p>
      <w:pPr>
        <w:pStyle w:val="56"/>
        <w:jc w:val="center"/>
        <w:rPr>
          <w:b/>
          <w:bCs/>
          <w:sz w:val="32"/>
          <w:szCs w:val="32"/>
          <w:lang w:val="en-GB"/>
        </w:rPr>
      </w:pPr>
    </w:p>
    <w:p>
      <w:pPr>
        <w:spacing w:before="0"/>
        <w:rPr>
          <w:szCs w:val="20"/>
          <w:lang w:val="en-GB"/>
        </w:rPr>
      </w:pPr>
    </w:p>
    <w:sdt>
      <w:sdtPr>
        <w:rPr>
          <w:rFonts w:ascii="Calibri" w:hAnsi="Calibri" w:eastAsiaTheme="minorEastAsia" w:cstheme="minorBidi"/>
          <w:b w:val="0"/>
          <w:color w:val="auto"/>
          <w:sz w:val="20"/>
          <w:szCs w:val="24"/>
          <w:lang w:val="en-US" w:eastAsia="en-US"/>
        </w:rPr>
        <w:id w:val="-867756778"/>
        <w:docPartObj>
          <w:docPartGallery w:val="Table of Contents"/>
          <w:docPartUnique/>
        </w:docPartObj>
      </w:sdtPr>
      <w:sdtEndPr>
        <w:rPr>
          <w:rFonts w:ascii="Times New Roman" w:hAnsi="Times New Roman" w:eastAsiaTheme="minorEastAsia" w:cstheme="minorBidi"/>
          <w:b w:val="0"/>
          <w:bCs/>
          <w:color w:val="auto"/>
          <w:sz w:val="20"/>
          <w:szCs w:val="24"/>
          <w:lang w:val="en-US" w:eastAsia="en-US"/>
        </w:rPr>
      </w:sdtEndPr>
      <w:sdtContent>
        <w:p>
          <w:pPr>
            <w:pStyle w:val="57"/>
            <w:rPr>
              <w:color w:val="auto"/>
              <w:lang w:val="en-GB"/>
            </w:rPr>
          </w:pPr>
          <w:r>
            <w:rPr>
              <w:color w:val="auto"/>
              <w:lang w:val="en-GB"/>
            </w:rPr>
            <w:t>Table of Contents</w:t>
          </w:r>
        </w:p>
        <w:p>
          <w:pPr>
            <w:pStyle w:val="22"/>
            <w:tabs>
              <w:tab w:val="left" w:pos="660"/>
              <w:tab w:val="right" w:leader="dot" w:pos="8297"/>
            </w:tabs>
            <w:rPr>
              <w:rFonts w:asciiTheme="minorHAnsi" w:hAnsiTheme="minorHAnsi"/>
              <w:sz w:val="22"/>
              <w:szCs w:val="22"/>
              <w:lang w:val="it-IT" w:eastAsia="it-IT"/>
            </w:rPr>
          </w:pPr>
          <w:r>
            <w:fldChar w:fldCharType="begin"/>
          </w:r>
          <w:r>
            <w:instrText xml:space="preserve"> TOC \o "1-3" \h \z \u </w:instrText>
          </w:r>
          <w:r>
            <w:fldChar w:fldCharType="separate"/>
          </w:r>
          <w:r>
            <w:fldChar w:fldCharType="begin"/>
          </w:r>
          <w:r>
            <w:instrText xml:space="preserve"> HYPERLINK \l "_Toc21076569" </w:instrText>
          </w:r>
          <w:r>
            <w:fldChar w:fldCharType="separate"/>
          </w:r>
          <w:r>
            <w:rPr>
              <w:rStyle w:val="18"/>
              <w:lang w:val="en-GB"/>
            </w:rPr>
            <w:t>I.</w:t>
          </w:r>
          <w:r>
            <w:rPr>
              <w:rFonts w:asciiTheme="minorHAnsi" w:hAnsiTheme="minorHAnsi"/>
              <w:sz w:val="22"/>
              <w:szCs w:val="22"/>
              <w:lang w:val="it-IT" w:eastAsia="it-IT"/>
            </w:rPr>
            <w:tab/>
          </w:r>
          <w:r>
            <w:rPr>
              <w:rStyle w:val="18"/>
            </w:rPr>
            <w:t>General</w:t>
          </w:r>
          <w:r>
            <w:rPr>
              <w:rStyle w:val="18"/>
              <w:lang w:val="en-GB"/>
            </w:rPr>
            <w:t xml:space="preserve"> provisions</w:t>
          </w:r>
          <w:r>
            <w:tab/>
          </w:r>
          <w:r>
            <w:fldChar w:fldCharType="begin"/>
          </w:r>
          <w:r>
            <w:instrText xml:space="preserve"> PAGEREF _Toc21076569 \h </w:instrText>
          </w:r>
          <w:r>
            <w:fldChar w:fldCharType="separate"/>
          </w:r>
          <w:r>
            <w:t>4</w:t>
          </w:r>
          <w:r>
            <w:fldChar w:fldCharType="end"/>
          </w:r>
          <w:r>
            <w:fldChar w:fldCharType="end"/>
          </w:r>
        </w:p>
        <w:p>
          <w:pPr>
            <w:pStyle w:val="23"/>
            <w:tabs>
              <w:tab w:val="left" w:pos="880"/>
              <w:tab w:val="right" w:leader="dot" w:pos="8297"/>
            </w:tabs>
            <w:rPr>
              <w:rFonts w:asciiTheme="minorHAnsi" w:hAnsiTheme="minorHAnsi"/>
              <w:sz w:val="22"/>
              <w:szCs w:val="22"/>
              <w:lang w:val="it-IT" w:eastAsia="it-IT"/>
            </w:rPr>
          </w:pPr>
          <w:r>
            <w:fldChar w:fldCharType="begin"/>
          </w:r>
          <w:r>
            <w:instrText xml:space="preserve"> HYPERLINK \l "_Toc21076570" </w:instrText>
          </w:r>
          <w:r>
            <w:fldChar w:fldCharType="separate"/>
          </w:r>
          <w:r>
            <w:rPr>
              <w:rStyle w:val="18"/>
              <w:lang w:val="en-GB"/>
            </w:rPr>
            <w:t>1.</w:t>
          </w:r>
          <w:r>
            <w:rPr>
              <w:rFonts w:asciiTheme="minorHAnsi" w:hAnsiTheme="minorHAnsi"/>
              <w:sz w:val="22"/>
              <w:szCs w:val="22"/>
              <w:lang w:val="it-IT" w:eastAsia="it-IT"/>
            </w:rPr>
            <w:tab/>
          </w:r>
          <w:r>
            <w:rPr>
              <w:rStyle w:val="18"/>
            </w:rPr>
            <w:t>Preliminary provisions</w:t>
          </w:r>
          <w:r>
            <w:tab/>
          </w:r>
          <w:r>
            <w:fldChar w:fldCharType="begin"/>
          </w:r>
          <w:r>
            <w:instrText xml:space="preserve"> PAGEREF _Toc21076570 \h </w:instrText>
          </w:r>
          <w:r>
            <w:fldChar w:fldCharType="separate"/>
          </w:r>
          <w:r>
            <w:t>4</w:t>
          </w:r>
          <w:r>
            <w:fldChar w:fldCharType="end"/>
          </w:r>
          <w:r>
            <w:fldChar w:fldCharType="end"/>
          </w:r>
        </w:p>
        <w:p>
          <w:pPr>
            <w:pStyle w:val="23"/>
            <w:tabs>
              <w:tab w:val="left" w:pos="880"/>
              <w:tab w:val="right" w:leader="dot" w:pos="8297"/>
            </w:tabs>
            <w:rPr>
              <w:rFonts w:asciiTheme="minorHAnsi" w:hAnsiTheme="minorHAnsi"/>
              <w:sz w:val="22"/>
              <w:szCs w:val="22"/>
              <w:lang w:val="it-IT" w:eastAsia="it-IT"/>
            </w:rPr>
          </w:pPr>
          <w:r>
            <w:fldChar w:fldCharType="begin"/>
          </w:r>
          <w:r>
            <w:instrText xml:space="preserve"> HYPERLINK \l "_Toc21076571" </w:instrText>
          </w:r>
          <w:r>
            <w:fldChar w:fldCharType="separate"/>
          </w:r>
          <w:r>
            <w:rPr>
              <w:rStyle w:val="18"/>
              <w:lang w:val="en-GB"/>
            </w:rPr>
            <w:t>2.</w:t>
          </w:r>
          <w:r>
            <w:rPr>
              <w:rFonts w:asciiTheme="minorHAnsi" w:hAnsiTheme="minorHAnsi"/>
              <w:sz w:val="22"/>
              <w:szCs w:val="22"/>
              <w:lang w:val="it-IT" w:eastAsia="it-IT"/>
            </w:rPr>
            <w:tab/>
          </w:r>
          <w:r>
            <w:rPr>
              <w:rStyle w:val="18"/>
            </w:rPr>
            <w:t>Definitions</w:t>
          </w:r>
          <w:r>
            <w:tab/>
          </w:r>
          <w:r>
            <w:fldChar w:fldCharType="begin"/>
          </w:r>
          <w:r>
            <w:instrText xml:space="preserve"> PAGEREF _Toc21076571 \h </w:instrText>
          </w:r>
          <w:r>
            <w:fldChar w:fldCharType="separate"/>
          </w:r>
          <w:r>
            <w:t>4</w:t>
          </w:r>
          <w:r>
            <w:fldChar w:fldCharType="end"/>
          </w:r>
          <w:r>
            <w:fldChar w:fldCharType="end"/>
          </w:r>
        </w:p>
        <w:p>
          <w:pPr>
            <w:pStyle w:val="23"/>
            <w:tabs>
              <w:tab w:val="left" w:pos="880"/>
              <w:tab w:val="right" w:leader="dot" w:pos="8297"/>
            </w:tabs>
            <w:rPr>
              <w:rFonts w:asciiTheme="minorHAnsi" w:hAnsiTheme="minorHAnsi"/>
              <w:sz w:val="22"/>
              <w:szCs w:val="22"/>
              <w:lang w:val="it-IT" w:eastAsia="it-IT"/>
            </w:rPr>
          </w:pPr>
          <w:r>
            <w:fldChar w:fldCharType="begin"/>
          </w:r>
          <w:r>
            <w:instrText xml:space="preserve"> HYPERLINK \l "_Toc21076572" </w:instrText>
          </w:r>
          <w:r>
            <w:fldChar w:fldCharType="separate"/>
          </w:r>
          <w:r>
            <w:rPr>
              <w:rStyle w:val="18"/>
              <w:lang w:val="en-GB"/>
            </w:rPr>
            <w:t>3.</w:t>
          </w:r>
          <w:r>
            <w:rPr>
              <w:rFonts w:asciiTheme="minorHAnsi" w:hAnsiTheme="minorHAnsi"/>
              <w:sz w:val="22"/>
              <w:szCs w:val="22"/>
              <w:lang w:val="it-IT" w:eastAsia="it-IT"/>
            </w:rPr>
            <w:tab/>
          </w:r>
          <w:r>
            <w:rPr>
              <w:rStyle w:val="18"/>
            </w:rPr>
            <w:t>Amendments and interpretation</w:t>
          </w:r>
          <w:r>
            <w:tab/>
          </w:r>
          <w:r>
            <w:fldChar w:fldCharType="begin"/>
          </w:r>
          <w:r>
            <w:instrText xml:space="preserve"> PAGEREF _Toc21076572 \h </w:instrText>
          </w:r>
          <w:r>
            <w:fldChar w:fldCharType="separate"/>
          </w:r>
          <w:r>
            <w:t>5</w:t>
          </w:r>
          <w:r>
            <w:fldChar w:fldCharType="end"/>
          </w:r>
          <w:r>
            <w:fldChar w:fldCharType="end"/>
          </w:r>
        </w:p>
        <w:p>
          <w:pPr>
            <w:pStyle w:val="23"/>
            <w:tabs>
              <w:tab w:val="left" w:pos="880"/>
              <w:tab w:val="right" w:leader="dot" w:pos="8297"/>
            </w:tabs>
            <w:rPr>
              <w:rFonts w:asciiTheme="minorHAnsi" w:hAnsiTheme="minorHAnsi"/>
              <w:sz w:val="22"/>
              <w:szCs w:val="22"/>
              <w:lang w:val="it-IT" w:eastAsia="it-IT"/>
            </w:rPr>
          </w:pPr>
          <w:r>
            <w:fldChar w:fldCharType="begin"/>
          </w:r>
          <w:r>
            <w:instrText xml:space="preserve"> HYPERLINK \l "_Toc21076573" </w:instrText>
          </w:r>
          <w:r>
            <w:fldChar w:fldCharType="separate"/>
          </w:r>
          <w:r>
            <w:rPr>
              <w:rStyle w:val="18"/>
              <w:lang w:val="en-GB"/>
            </w:rPr>
            <w:t>4.</w:t>
          </w:r>
          <w:r>
            <w:rPr>
              <w:rFonts w:asciiTheme="minorHAnsi" w:hAnsiTheme="minorHAnsi"/>
              <w:sz w:val="22"/>
              <w:szCs w:val="22"/>
              <w:lang w:val="it-IT" w:eastAsia="it-IT"/>
            </w:rPr>
            <w:tab/>
          </w:r>
          <w:r>
            <w:rPr>
              <w:rStyle w:val="18"/>
            </w:rPr>
            <w:t>Language</w:t>
          </w:r>
          <w:r>
            <w:tab/>
          </w:r>
          <w:r>
            <w:fldChar w:fldCharType="begin"/>
          </w:r>
          <w:r>
            <w:instrText xml:space="preserve"> PAGEREF _Toc21076573 \h </w:instrText>
          </w:r>
          <w:r>
            <w:fldChar w:fldCharType="separate"/>
          </w:r>
          <w:r>
            <w:t>5</w:t>
          </w:r>
          <w:r>
            <w:fldChar w:fldCharType="end"/>
          </w:r>
          <w:r>
            <w:fldChar w:fldCharType="end"/>
          </w:r>
        </w:p>
        <w:p>
          <w:pPr>
            <w:pStyle w:val="23"/>
            <w:tabs>
              <w:tab w:val="left" w:pos="880"/>
              <w:tab w:val="right" w:leader="dot" w:pos="8297"/>
            </w:tabs>
            <w:rPr>
              <w:rFonts w:asciiTheme="minorHAnsi" w:hAnsiTheme="minorHAnsi"/>
              <w:sz w:val="22"/>
              <w:szCs w:val="22"/>
              <w:lang w:val="it-IT" w:eastAsia="it-IT"/>
            </w:rPr>
          </w:pPr>
          <w:r>
            <w:fldChar w:fldCharType="begin"/>
          </w:r>
          <w:r>
            <w:instrText xml:space="preserve"> HYPERLINK \l "_Toc21076574" </w:instrText>
          </w:r>
          <w:r>
            <w:fldChar w:fldCharType="separate"/>
          </w:r>
          <w:r>
            <w:rPr>
              <w:rStyle w:val="18"/>
              <w:lang w:val="en-GB"/>
            </w:rPr>
            <w:t>5.</w:t>
          </w:r>
          <w:r>
            <w:rPr>
              <w:rFonts w:asciiTheme="minorHAnsi" w:hAnsiTheme="minorHAnsi"/>
              <w:sz w:val="22"/>
              <w:szCs w:val="22"/>
              <w:lang w:val="it-IT" w:eastAsia="it-IT"/>
            </w:rPr>
            <w:tab/>
          </w:r>
          <w:r>
            <w:rPr>
              <w:rStyle w:val="18"/>
            </w:rPr>
            <w:t>Joint Venture, Consortium or Association</w:t>
          </w:r>
          <w:r>
            <w:tab/>
          </w:r>
          <w:r>
            <w:fldChar w:fldCharType="begin"/>
          </w:r>
          <w:r>
            <w:instrText xml:space="preserve"> PAGEREF _Toc21076574 \h </w:instrText>
          </w:r>
          <w:r>
            <w:fldChar w:fldCharType="separate"/>
          </w:r>
          <w:r>
            <w:t>5</w:t>
          </w:r>
          <w:r>
            <w:fldChar w:fldCharType="end"/>
          </w:r>
          <w:r>
            <w:fldChar w:fldCharType="end"/>
          </w:r>
        </w:p>
        <w:p>
          <w:pPr>
            <w:pStyle w:val="23"/>
            <w:tabs>
              <w:tab w:val="left" w:pos="880"/>
              <w:tab w:val="right" w:leader="dot" w:pos="8297"/>
            </w:tabs>
            <w:rPr>
              <w:rFonts w:asciiTheme="minorHAnsi" w:hAnsiTheme="minorHAnsi"/>
              <w:sz w:val="22"/>
              <w:szCs w:val="22"/>
              <w:lang w:val="it-IT" w:eastAsia="it-IT"/>
            </w:rPr>
          </w:pPr>
          <w:r>
            <w:fldChar w:fldCharType="begin"/>
          </w:r>
          <w:r>
            <w:instrText xml:space="preserve"> HYPERLINK \l "_Toc21076575" </w:instrText>
          </w:r>
          <w:r>
            <w:fldChar w:fldCharType="separate"/>
          </w:r>
          <w:r>
            <w:rPr>
              <w:rStyle w:val="18"/>
              <w:lang w:val="en-GB"/>
            </w:rPr>
            <w:t>6.</w:t>
          </w:r>
          <w:r>
            <w:rPr>
              <w:rFonts w:asciiTheme="minorHAnsi" w:hAnsiTheme="minorHAnsi"/>
              <w:sz w:val="22"/>
              <w:szCs w:val="22"/>
              <w:lang w:val="it-IT" w:eastAsia="it-IT"/>
            </w:rPr>
            <w:tab/>
          </w:r>
          <w:r>
            <w:rPr>
              <w:rStyle w:val="18"/>
            </w:rPr>
            <w:t>Notice</w:t>
          </w:r>
          <w:r>
            <w:tab/>
          </w:r>
          <w:r>
            <w:fldChar w:fldCharType="begin"/>
          </w:r>
          <w:r>
            <w:instrText xml:space="preserve"> PAGEREF _Toc21076575 \h </w:instrText>
          </w:r>
          <w:r>
            <w:fldChar w:fldCharType="separate"/>
          </w:r>
          <w:r>
            <w:t>5</w:t>
          </w:r>
          <w:r>
            <w:fldChar w:fldCharType="end"/>
          </w:r>
          <w:r>
            <w:fldChar w:fldCharType="end"/>
          </w:r>
        </w:p>
        <w:p>
          <w:pPr>
            <w:pStyle w:val="23"/>
            <w:tabs>
              <w:tab w:val="left" w:pos="880"/>
              <w:tab w:val="right" w:leader="dot" w:pos="8297"/>
            </w:tabs>
            <w:rPr>
              <w:rFonts w:asciiTheme="minorHAnsi" w:hAnsiTheme="minorHAnsi"/>
              <w:sz w:val="22"/>
              <w:szCs w:val="22"/>
              <w:lang w:val="it-IT" w:eastAsia="it-IT"/>
            </w:rPr>
          </w:pPr>
          <w:r>
            <w:fldChar w:fldCharType="begin"/>
          </w:r>
          <w:r>
            <w:instrText xml:space="preserve"> HYPERLINK \l "_Toc21076576" </w:instrText>
          </w:r>
          <w:r>
            <w:fldChar w:fldCharType="separate"/>
          </w:r>
          <w:r>
            <w:rPr>
              <w:rStyle w:val="18"/>
              <w:lang w:val="en-GB"/>
            </w:rPr>
            <w:t>7.</w:t>
          </w:r>
          <w:r>
            <w:rPr>
              <w:rFonts w:asciiTheme="minorHAnsi" w:hAnsiTheme="minorHAnsi"/>
              <w:sz w:val="22"/>
              <w:szCs w:val="22"/>
              <w:lang w:val="it-IT" w:eastAsia="it-IT"/>
            </w:rPr>
            <w:tab/>
          </w:r>
          <w:r>
            <w:rPr>
              <w:rStyle w:val="18"/>
            </w:rPr>
            <w:t>Governing legislation</w:t>
          </w:r>
          <w:r>
            <w:tab/>
          </w:r>
          <w:r>
            <w:fldChar w:fldCharType="begin"/>
          </w:r>
          <w:r>
            <w:instrText xml:space="preserve"> PAGEREF _Toc21076576 \h </w:instrText>
          </w:r>
          <w:r>
            <w:fldChar w:fldCharType="separate"/>
          </w:r>
          <w:r>
            <w:t>5</w:t>
          </w:r>
          <w:r>
            <w:fldChar w:fldCharType="end"/>
          </w:r>
          <w:r>
            <w:fldChar w:fldCharType="end"/>
          </w:r>
        </w:p>
        <w:p>
          <w:pPr>
            <w:pStyle w:val="23"/>
            <w:tabs>
              <w:tab w:val="left" w:pos="880"/>
              <w:tab w:val="right" w:leader="dot" w:pos="8297"/>
            </w:tabs>
            <w:rPr>
              <w:rFonts w:asciiTheme="minorHAnsi" w:hAnsiTheme="minorHAnsi"/>
              <w:sz w:val="22"/>
              <w:szCs w:val="22"/>
              <w:lang w:val="it-IT" w:eastAsia="it-IT"/>
            </w:rPr>
          </w:pPr>
          <w:r>
            <w:fldChar w:fldCharType="begin"/>
          </w:r>
          <w:r>
            <w:instrText xml:space="preserve"> HYPERLINK \l "_Toc21076577" </w:instrText>
          </w:r>
          <w:r>
            <w:fldChar w:fldCharType="separate"/>
          </w:r>
          <w:r>
            <w:rPr>
              <w:rStyle w:val="18"/>
              <w:lang w:val="en-GB"/>
            </w:rPr>
            <w:t>8.</w:t>
          </w:r>
          <w:r>
            <w:rPr>
              <w:rFonts w:asciiTheme="minorHAnsi" w:hAnsiTheme="minorHAnsi"/>
              <w:sz w:val="22"/>
              <w:szCs w:val="22"/>
              <w:lang w:val="it-IT" w:eastAsia="it-IT"/>
            </w:rPr>
            <w:tab/>
          </w:r>
          <w:r>
            <w:rPr>
              <w:rStyle w:val="18"/>
            </w:rPr>
            <w:t>Taxes and Duties</w:t>
          </w:r>
          <w:r>
            <w:tab/>
          </w:r>
          <w:r>
            <w:fldChar w:fldCharType="begin"/>
          </w:r>
          <w:r>
            <w:instrText xml:space="preserve"> PAGEREF _Toc21076577 \h </w:instrText>
          </w:r>
          <w:r>
            <w:fldChar w:fldCharType="separate"/>
          </w:r>
          <w:r>
            <w:t>5</w:t>
          </w:r>
          <w:r>
            <w:fldChar w:fldCharType="end"/>
          </w:r>
          <w:r>
            <w:fldChar w:fldCharType="end"/>
          </w:r>
        </w:p>
        <w:p>
          <w:pPr>
            <w:pStyle w:val="22"/>
            <w:tabs>
              <w:tab w:val="left" w:pos="660"/>
              <w:tab w:val="right" w:leader="dot" w:pos="8297"/>
            </w:tabs>
            <w:rPr>
              <w:rFonts w:asciiTheme="minorHAnsi" w:hAnsiTheme="minorHAnsi"/>
              <w:sz w:val="22"/>
              <w:szCs w:val="22"/>
              <w:lang w:val="it-IT" w:eastAsia="it-IT"/>
            </w:rPr>
          </w:pPr>
          <w:r>
            <w:fldChar w:fldCharType="begin"/>
          </w:r>
          <w:r>
            <w:instrText xml:space="preserve"> HYPERLINK \l "_Toc21076578" </w:instrText>
          </w:r>
          <w:r>
            <w:fldChar w:fldCharType="separate"/>
          </w:r>
          <w:r>
            <w:rPr>
              <w:rStyle w:val="18"/>
              <w:lang w:val="en-GB"/>
            </w:rPr>
            <w:t>II.</w:t>
          </w:r>
          <w:r>
            <w:rPr>
              <w:rFonts w:asciiTheme="minorHAnsi" w:hAnsiTheme="minorHAnsi"/>
              <w:sz w:val="22"/>
              <w:szCs w:val="22"/>
              <w:lang w:val="it-IT" w:eastAsia="it-IT"/>
            </w:rPr>
            <w:tab/>
          </w:r>
          <w:r>
            <w:rPr>
              <w:rStyle w:val="18"/>
              <w:lang w:val="en-GB"/>
            </w:rPr>
            <w:t>IMPLEMENTATION OF THE CONTRACT</w:t>
          </w:r>
          <w:r>
            <w:tab/>
          </w:r>
          <w:r>
            <w:fldChar w:fldCharType="begin"/>
          </w:r>
          <w:r>
            <w:instrText xml:space="preserve"> PAGEREF _Toc21076578 \h </w:instrText>
          </w:r>
          <w:r>
            <w:fldChar w:fldCharType="separate"/>
          </w:r>
          <w:r>
            <w:t>5</w:t>
          </w:r>
          <w:r>
            <w:fldChar w:fldCharType="end"/>
          </w:r>
          <w:r>
            <w:fldChar w:fldCharType="end"/>
          </w:r>
        </w:p>
        <w:p>
          <w:pPr>
            <w:pStyle w:val="23"/>
            <w:tabs>
              <w:tab w:val="left" w:pos="880"/>
              <w:tab w:val="right" w:leader="dot" w:pos="8297"/>
            </w:tabs>
            <w:rPr>
              <w:rFonts w:asciiTheme="minorHAnsi" w:hAnsiTheme="minorHAnsi"/>
              <w:sz w:val="22"/>
              <w:szCs w:val="22"/>
              <w:lang w:val="it-IT" w:eastAsia="it-IT"/>
            </w:rPr>
          </w:pPr>
          <w:r>
            <w:fldChar w:fldCharType="begin"/>
          </w:r>
          <w:r>
            <w:instrText xml:space="preserve"> HYPERLINK \l "_Toc21076579" </w:instrText>
          </w:r>
          <w:r>
            <w:fldChar w:fldCharType="separate"/>
          </w:r>
          <w:r>
            <w:rPr>
              <w:rStyle w:val="18"/>
              <w:lang w:val="en-GB"/>
            </w:rPr>
            <w:t>9.</w:t>
          </w:r>
          <w:r>
            <w:rPr>
              <w:rFonts w:asciiTheme="minorHAnsi" w:hAnsiTheme="minorHAnsi"/>
              <w:sz w:val="22"/>
              <w:szCs w:val="22"/>
              <w:lang w:val="it-IT" w:eastAsia="it-IT"/>
            </w:rPr>
            <w:tab/>
          </w:r>
          <w:r>
            <w:rPr>
              <w:rStyle w:val="18"/>
            </w:rPr>
            <w:t>Effectiveness of the Contract</w:t>
          </w:r>
          <w:r>
            <w:tab/>
          </w:r>
          <w:r>
            <w:fldChar w:fldCharType="begin"/>
          </w:r>
          <w:r>
            <w:instrText xml:space="preserve"> PAGEREF _Toc21076579 \h </w:instrText>
          </w:r>
          <w:r>
            <w:fldChar w:fldCharType="separate"/>
          </w:r>
          <w:r>
            <w:t>5</w:t>
          </w:r>
          <w:r>
            <w:fldChar w:fldCharType="end"/>
          </w:r>
          <w:r>
            <w:fldChar w:fldCharType="end"/>
          </w:r>
        </w:p>
        <w:p>
          <w:pPr>
            <w:pStyle w:val="23"/>
            <w:tabs>
              <w:tab w:val="left" w:pos="880"/>
              <w:tab w:val="right" w:leader="dot" w:pos="8297"/>
            </w:tabs>
            <w:rPr>
              <w:rFonts w:asciiTheme="minorHAnsi" w:hAnsiTheme="minorHAnsi"/>
              <w:sz w:val="22"/>
              <w:szCs w:val="22"/>
              <w:lang w:val="it-IT" w:eastAsia="it-IT"/>
            </w:rPr>
          </w:pPr>
          <w:r>
            <w:fldChar w:fldCharType="begin"/>
          </w:r>
          <w:r>
            <w:instrText xml:space="preserve"> HYPERLINK \l "_Toc21076580" </w:instrText>
          </w:r>
          <w:r>
            <w:fldChar w:fldCharType="separate"/>
          </w:r>
          <w:r>
            <w:rPr>
              <w:rStyle w:val="18"/>
              <w:lang w:val="en-GB"/>
            </w:rPr>
            <w:t>10.</w:t>
          </w:r>
          <w:r>
            <w:rPr>
              <w:rFonts w:asciiTheme="minorHAnsi" w:hAnsiTheme="minorHAnsi"/>
              <w:sz w:val="22"/>
              <w:szCs w:val="22"/>
              <w:lang w:val="it-IT" w:eastAsia="it-IT"/>
            </w:rPr>
            <w:tab/>
          </w:r>
          <w:r>
            <w:rPr>
              <w:rStyle w:val="18"/>
            </w:rPr>
            <w:t>Country of origin</w:t>
          </w:r>
          <w:r>
            <w:tab/>
          </w:r>
          <w:r>
            <w:fldChar w:fldCharType="begin"/>
          </w:r>
          <w:r>
            <w:instrText xml:space="preserve"> PAGEREF _Toc21076580 \h </w:instrText>
          </w:r>
          <w:r>
            <w:fldChar w:fldCharType="separate"/>
          </w:r>
          <w:r>
            <w:t>6</w:t>
          </w:r>
          <w:r>
            <w:fldChar w:fldCharType="end"/>
          </w:r>
          <w:r>
            <w:fldChar w:fldCharType="end"/>
          </w:r>
        </w:p>
        <w:p>
          <w:pPr>
            <w:pStyle w:val="23"/>
            <w:tabs>
              <w:tab w:val="left" w:pos="880"/>
              <w:tab w:val="right" w:leader="dot" w:pos="8297"/>
            </w:tabs>
            <w:rPr>
              <w:rFonts w:asciiTheme="minorHAnsi" w:hAnsiTheme="minorHAnsi"/>
              <w:sz w:val="22"/>
              <w:szCs w:val="22"/>
              <w:lang w:val="it-IT" w:eastAsia="it-IT"/>
            </w:rPr>
          </w:pPr>
          <w:r>
            <w:fldChar w:fldCharType="begin"/>
          </w:r>
          <w:r>
            <w:instrText xml:space="preserve"> HYPERLINK \l "_Toc21076581" </w:instrText>
          </w:r>
          <w:r>
            <w:fldChar w:fldCharType="separate"/>
          </w:r>
          <w:r>
            <w:rPr>
              <w:rStyle w:val="18"/>
              <w:lang w:val="en-GB"/>
            </w:rPr>
            <w:t>11.</w:t>
          </w:r>
          <w:r>
            <w:rPr>
              <w:rFonts w:asciiTheme="minorHAnsi" w:hAnsiTheme="minorHAnsi"/>
              <w:sz w:val="22"/>
              <w:szCs w:val="22"/>
              <w:lang w:val="it-IT" w:eastAsia="it-IT"/>
            </w:rPr>
            <w:tab/>
          </w:r>
          <w:r>
            <w:rPr>
              <w:rStyle w:val="18"/>
            </w:rPr>
            <w:t>Standards</w:t>
          </w:r>
          <w:r>
            <w:tab/>
          </w:r>
          <w:r>
            <w:fldChar w:fldCharType="begin"/>
          </w:r>
          <w:r>
            <w:instrText xml:space="preserve"> PAGEREF _Toc21076581 \h </w:instrText>
          </w:r>
          <w:r>
            <w:fldChar w:fldCharType="separate"/>
          </w:r>
          <w:r>
            <w:t>6</w:t>
          </w:r>
          <w:r>
            <w:fldChar w:fldCharType="end"/>
          </w:r>
          <w:r>
            <w:fldChar w:fldCharType="end"/>
          </w:r>
        </w:p>
        <w:p>
          <w:pPr>
            <w:pStyle w:val="23"/>
            <w:tabs>
              <w:tab w:val="left" w:pos="880"/>
              <w:tab w:val="right" w:leader="dot" w:pos="8297"/>
            </w:tabs>
            <w:rPr>
              <w:rFonts w:asciiTheme="minorHAnsi" w:hAnsiTheme="minorHAnsi"/>
              <w:sz w:val="22"/>
              <w:szCs w:val="22"/>
              <w:lang w:val="it-IT" w:eastAsia="it-IT"/>
            </w:rPr>
          </w:pPr>
          <w:r>
            <w:fldChar w:fldCharType="begin"/>
          </w:r>
          <w:r>
            <w:instrText xml:space="preserve"> HYPERLINK \l "_Toc21076582" </w:instrText>
          </w:r>
          <w:r>
            <w:fldChar w:fldCharType="separate"/>
          </w:r>
          <w:r>
            <w:rPr>
              <w:rStyle w:val="18"/>
              <w:lang w:val="en-GB"/>
            </w:rPr>
            <w:t>12.</w:t>
          </w:r>
          <w:r>
            <w:rPr>
              <w:rFonts w:asciiTheme="minorHAnsi" w:hAnsiTheme="minorHAnsi"/>
              <w:sz w:val="22"/>
              <w:szCs w:val="22"/>
              <w:lang w:val="it-IT" w:eastAsia="it-IT"/>
            </w:rPr>
            <w:tab/>
          </w:r>
          <w:r>
            <w:rPr>
              <w:rStyle w:val="18"/>
            </w:rPr>
            <w:t>Acceptance</w:t>
          </w:r>
          <w:r>
            <w:tab/>
          </w:r>
          <w:r>
            <w:fldChar w:fldCharType="begin"/>
          </w:r>
          <w:r>
            <w:instrText xml:space="preserve"> PAGEREF _Toc21076582 \h </w:instrText>
          </w:r>
          <w:r>
            <w:fldChar w:fldCharType="separate"/>
          </w:r>
          <w:r>
            <w:t>6</w:t>
          </w:r>
          <w:r>
            <w:fldChar w:fldCharType="end"/>
          </w:r>
          <w:r>
            <w:fldChar w:fldCharType="end"/>
          </w:r>
        </w:p>
        <w:p>
          <w:pPr>
            <w:pStyle w:val="23"/>
            <w:tabs>
              <w:tab w:val="left" w:pos="880"/>
              <w:tab w:val="right" w:leader="dot" w:pos="8297"/>
            </w:tabs>
            <w:rPr>
              <w:rFonts w:asciiTheme="minorHAnsi" w:hAnsiTheme="minorHAnsi"/>
              <w:sz w:val="22"/>
              <w:szCs w:val="22"/>
              <w:lang w:val="it-IT" w:eastAsia="it-IT"/>
            </w:rPr>
          </w:pPr>
          <w:r>
            <w:fldChar w:fldCharType="begin"/>
          </w:r>
          <w:r>
            <w:instrText xml:space="preserve"> HYPERLINK \l "_Toc21076583" </w:instrText>
          </w:r>
          <w:r>
            <w:fldChar w:fldCharType="separate"/>
          </w:r>
          <w:r>
            <w:rPr>
              <w:rStyle w:val="18"/>
              <w:lang w:val="en-GB"/>
            </w:rPr>
            <w:t>13.</w:t>
          </w:r>
          <w:r>
            <w:rPr>
              <w:rFonts w:asciiTheme="minorHAnsi" w:hAnsiTheme="minorHAnsi"/>
              <w:sz w:val="22"/>
              <w:szCs w:val="22"/>
              <w:lang w:val="it-IT" w:eastAsia="it-IT"/>
            </w:rPr>
            <w:tab/>
          </w:r>
          <w:r>
            <w:rPr>
              <w:rStyle w:val="18"/>
            </w:rPr>
            <w:t>Delivery and delays</w:t>
          </w:r>
          <w:r>
            <w:tab/>
          </w:r>
          <w:r>
            <w:fldChar w:fldCharType="begin"/>
          </w:r>
          <w:r>
            <w:instrText xml:space="preserve"> PAGEREF _Toc21076583 \h </w:instrText>
          </w:r>
          <w:r>
            <w:fldChar w:fldCharType="separate"/>
          </w:r>
          <w:r>
            <w:t>6</w:t>
          </w:r>
          <w:r>
            <w:fldChar w:fldCharType="end"/>
          </w:r>
          <w:r>
            <w:fldChar w:fldCharType="end"/>
          </w:r>
        </w:p>
        <w:p>
          <w:pPr>
            <w:pStyle w:val="23"/>
            <w:tabs>
              <w:tab w:val="left" w:pos="880"/>
              <w:tab w:val="right" w:leader="dot" w:pos="8297"/>
            </w:tabs>
            <w:rPr>
              <w:rFonts w:asciiTheme="minorHAnsi" w:hAnsiTheme="minorHAnsi"/>
              <w:sz w:val="22"/>
              <w:szCs w:val="22"/>
              <w:lang w:val="it-IT" w:eastAsia="it-IT"/>
            </w:rPr>
          </w:pPr>
          <w:r>
            <w:fldChar w:fldCharType="begin"/>
          </w:r>
          <w:r>
            <w:instrText xml:space="preserve"> HYPERLINK \l "_Toc21076584" </w:instrText>
          </w:r>
          <w:r>
            <w:fldChar w:fldCharType="separate"/>
          </w:r>
          <w:r>
            <w:rPr>
              <w:rStyle w:val="18"/>
              <w:lang w:val="en-GB"/>
            </w:rPr>
            <w:t>14.</w:t>
          </w:r>
          <w:r>
            <w:rPr>
              <w:rFonts w:asciiTheme="minorHAnsi" w:hAnsiTheme="minorHAnsi"/>
              <w:sz w:val="22"/>
              <w:szCs w:val="22"/>
              <w:lang w:val="it-IT" w:eastAsia="it-IT"/>
            </w:rPr>
            <w:tab/>
          </w:r>
          <w:r>
            <w:rPr>
              <w:rStyle w:val="18"/>
            </w:rPr>
            <w:t>Liquidated damages</w:t>
          </w:r>
          <w:r>
            <w:tab/>
          </w:r>
          <w:r>
            <w:fldChar w:fldCharType="begin"/>
          </w:r>
          <w:r>
            <w:instrText xml:space="preserve"> PAGEREF _Toc21076584 \h </w:instrText>
          </w:r>
          <w:r>
            <w:fldChar w:fldCharType="separate"/>
          </w:r>
          <w:r>
            <w:t>7</w:t>
          </w:r>
          <w:r>
            <w:fldChar w:fldCharType="end"/>
          </w:r>
          <w:r>
            <w:fldChar w:fldCharType="end"/>
          </w:r>
        </w:p>
        <w:p>
          <w:pPr>
            <w:pStyle w:val="23"/>
            <w:tabs>
              <w:tab w:val="left" w:pos="880"/>
              <w:tab w:val="right" w:leader="dot" w:pos="8297"/>
            </w:tabs>
            <w:rPr>
              <w:rFonts w:asciiTheme="minorHAnsi" w:hAnsiTheme="minorHAnsi"/>
              <w:sz w:val="22"/>
              <w:szCs w:val="22"/>
              <w:lang w:val="it-IT" w:eastAsia="it-IT"/>
            </w:rPr>
          </w:pPr>
          <w:r>
            <w:fldChar w:fldCharType="begin"/>
          </w:r>
          <w:r>
            <w:instrText xml:space="preserve"> HYPERLINK \l "_Toc21076585" </w:instrText>
          </w:r>
          <w:r>
            <w:fldChar w:fldCharType="separate"/>
          </w:r>
          <w:r>
            <w:rPr>
              <w:rStyle w:val="18"/>
              <w:lang w:val="en-GB"/>
            </w:rPr>
            <w:t>15.</w:t>
          </w:r>
          <w:r>
            <w:rPr>
              <w:rFonts w:asciiTheme="minorHAnsi" w:hAnsiTheme="minorHAnsi"/>
              <w:sz w:val="22"/>
              <w:szCs w:val="22"/>
              <w:lang w:val="it-IT" w:eastAsia="it-IT"/>
            </w:rPr>
            <w:tab/>
          </w:r>
          <w:r>
            <w:rPr>
              <w:rStyle w:val="18"/>
            </w:rPr>
            <w:t>Expiration of the Contract</w:t>
          </w:r>
          <w:r>
            <w:tab/>
          </w:r>
          <w:r>
            <w:fldChar w:fldCharType="begin"/>
          </w:r>
          <w:r>
            <w:instrText xml:space="preserve"> PAGEREF _Toc21076585 \h </w:instrText>
          </w:r>
          <w:r>
            <w:fldChar w:fldCharType="separate"/>
          </w:r>
          <w:r>
            <w:t>7</w:t>
          </w:r>
          <w:r>
            <w:fldChar w:fldCharType="end"/>
          </w:r>
          <w:r>
            <w:fldChar w:fldCharType="end"/>
          </w:r>
        </w:p>
        <w:p>
          <w:pPr>
            <w:pStyle w:val="23"/>
            <w:tabs>
              <w:tab w:val="left" w:pos="880"/>
              <w:tab w:val="right" w:leader="dot" w:pos="8297"/>
            </w:tabs>
            <w:rPr>
              <w:rFonts w:asciiTheme="minorHAnsi" w:hAnsiTheme="minorHAnsi"/>
              <w:sz w:val="22"/>
              <w:szCs w:val="22"/>
              <w:lang w:val="it-IT" w:eastAsia="it-IT"/>
            </w:rPr>
          </w:pPr>
          <w:r>
            <w:fldChar w:fldCharType="begin"/>
          </w:r>
          <w:r>
            <w:instrText xml:space="preserve"> HYPERLINK \l "_Toc21076586" </w:instrText>
          </w:r>
          <w:r>
            <w:fldChar w:fldCharType="separate"/>
          </w:r>
          <w:r>
            <w:rPr>
              <w:rStyle w:val="18"/>
              <w:lang w:val="en-GB"/>
            </w:rPr>
            <w:t>16.</w:t>
          </w:r>
          <w:r>
            <w:rPr>
              <w:rFonts w:asciiTheme="minorHAnsi" w:hAnsiTheme="minorHAnsi"/>
              <w:sz w:val="22"/>
              <w:szCs w:val="22"/>
              <w:lang w:val="it-IT" w:eastAsia="it-IT"/>
            </w:rPr>
            <w:tab/>
          </w:r>
          <w:r>
            <w:rPr>
              <w:rStyle w:val="18"/>
            </w:rPr>
            <w:t>Force majeure</w:t>
          </w:r>
          <w:r>
            <w:tab/>
          </w:r>
          <w:r>
            <w:fldChar w:fldCharType="begin"/>
          </w:r>
          <w:r>
            <w:instrText xml:space="preserve"> PAGEREF _Toc21076586 \h </w:instrText>
          </w:r>
          <w:r>
            <w:fldChar w:fldCharType="separate"/>
          </w:r>
          <w:r>
            <w:t>7</w:t>
          </w:r>
          <w:r>
            <w:fldChar w:fldCharType="end"/>
          </w:r>
          <w:r>
            <w:fldChar w:fldCharType="end"/>
          </w:r>
        </w:p>
        <w:p>
          <w:pPr>
            <w:pStyle w:val="23"/>
            <w:tabs>
              <w:tab w:val="left" w:pos="880"/>
              <w:tab w:val="right" w:leader="dot" w:pos="8297"/>
            </w:tabs>
            <w:rPr>
              <w:rFonts w:asciiTheme="minorHAnsi" w:hAnsiTheme="minorHAnsi"/>
              <w:sz w:val="22"/>
              <w:szCs w:val="22"/>
              <w:lang w:val="it-IT" w:eastAsia="it-IT"/>
            </w:rPr>
          </w:pPr>
          <w:r>
            <w:fldChar w:fldCharType="begin"/>
          </w:r>
          <w:r>
            <w:instrText xml:space="preserve"> HYPERLINK \l "_Toc21076587" </w:instrText>
          </w:r>
          <w:r>
            <w:fldChar w:fldCharType="separate"/>
          </w:r>
          <w:r>
            <w:rPr>
              <w:rStyle w:val="18"/>
              <w:lang w:val="en-GB"/>
            </w:rPr>
            <w:t>17.</w:t>
          </w:r>
          <w:r>
            <w:rPr>
              <w:rFonts w:asciiTheme="minorHAnsi" w:hAnsiTheme="minorHAnsi"/>
              <w:sz w:val="22"/>
              <w:szCs w:val="22"/>
              <w:lang w:val="it-IT" w:eastAsia="it-IT"/>
            </w:rPr>
            <w:tab/>
          </w:r>
          <w:r>
            <w:rPr>
              <w:rStyle w:val="18"/>
            </w:rPr>
            <w:t>Suspension</w:t>
          </w:r>
          <w:r>
            <w:tab/>
          </w:r>
          <w:r>
            <w:fldChar w:fldCharType="begin"/>
          </w:r>
          <w:r>
            <w:instrText xml:space="preserve"> PAGEREF _Toc21076587 \h </w:instrText>
          </w:r>
          <w:r>
            <w:fldChar w:fldCharType="separate"/>
          </w:r>
          <w:r>
            <w:t>7</w:t>
          </w:r>
          <w:r>
            <w:fldChar w:fldCharType="end"/>
          </w:r>
          <w:r>
            <w:fldChar w:fldCharType="end"/>
          </w:r>
        </w:p>
        <w:p>
          <w:pPr>
            <w:pStyle w:val="23"/>
            <w:tabs>
              <w:tab w:val="left" w:pos="880"/>
              <w:tab w:val="right" w:leader="dot" w:pos="8297"/>
            </w:tabs>
            <w:rPr>
              <w:rFonts w:asciiTheme="minorHAnsi" w:hAnsiTheme="minorHAnsi"/>
              <w:sz w:val="22"/>
              <w:szCs w:val="22"/>
              <w:lang w:val="it-IT" w:eastAsia="it-IT"/>
            </w:rPr>
          </w:pPr>
          <w:r>
            <w:fldChar w:fldCharType="begin"/>
          </w:r>
          <w:r>
            <w:instrText xml:space="preserve"> HYPERLINK \l "_Toc21076588" </w:instrText>
          </w:r>
          <w:r>
            <w:fldChar w:fldCharType="separate"/>
          </w:r>
          <w:r>
            <w:rPr>
              <w:rStyle w:val="18"/>
              <w:lang w:val="en-GB"/>
            </w:rPr>
            <w:t>18.</w:t>
          </w:r>
          <w:r>
            <w:rPr>
              <w:rFonts w:asciiTheme="minorHAnsi" w:hAnsiTheme="minorHAnsi"/>
              <w:sz w:val="22"/>
              <w:szCs w:val="22"/>
              <w:lang w:val="it-IT" w:eastAsia="it-IT"/>
            </w:rPr>
            <w:tab/>
          </w:r>
          <w:r>
            <w:rPr>
              <w:rStyle w:val="18"/>
            </w:rPr>
            <w:t>Termination by the Procuring Entity</w:t>
          </w:r>
          <w:r>
            <w:tab/>
          </w:r>
          <w:r>
            <w:fldChar w:fldCharType="begin"/>
          </w:r>
          <w:r>
            <w:instrText xml:space="preserve"> PAGEREF _Toc21076588 \h </w:instrText>
          </w:r>
          <w:r>
            <w:fldChar w:fldCharType="separate"/>
          </w:r>
          <w:r>
            <w:t>7</w:t>
          </w:r>
          <w:r>
            <w:fldChar w:fldCharType="end"/>
          </w:r>
          <w:r>
            <w:fldChar w:fldCharType="end"/>
          </w:r>
        </w:p>
        <w:p>
          <w:pPr>
            <w:pStyle w:val="23"/>
            <w:tabs>
              <w:tab w:val="left" w:pos="880"/>
              <w:tab w:val="right" w:leader="dot" w:pos="8297"/>
            </w:tabs>
            <w:rPr>
              <w:rFonts w:asciiTheme="minorHAnsi" w:hAnsiTheme="minorHAnsi"/>
              <w:sz w:val="22"/>
              <w:szCs w:val="22"/>
              <w:lang w:val="it-IT" w:eastAsia="it-IT"/>
            </w:rPr>
          </w:pPr>
          <w:r>
            <w:fldChar w:fldCharType="begin"/>
          </w:r>
          <w:r>
            <w:instrText xml:space="preserve"> HYPERLINK \l "_Toc21076589" </w:instrText>
          </w:r>
          <w:r>
            <w:fldChar w:fldCharType="separate"/>
          </w:r>
          <w:r>
            <w:rPr>
              <w:rStyle w:val="18"/>
              <w:lang w:val="en-GB"/>
            </w:rPr>
            <w:t>19.</w:t>
          </w:r>
          <w:r>
            <w:rPr>
              <w:rFonts w:asciiTheme="minorHAnsi" w:hAnsiTheme="minorHAnsi"/>
              <w:sz w:val="22"/>
              <w:szCs w:val="22"/>
              <w:lang w:val="it-IT" w:eastAsia="it-IT"/>
            </w:rPr>
            <w:tab/>
          </w:r>
          <w:r>
            <w:rPr>
              <w:rStyle w:val="18"/>
            </w:rPr>
            <w:t>Termination by the Supplier</w:t>
          </w:r>
          <w:r>
            <w:tab/>
          </w:r>
          <w:r>
            <w:fldChar w:fldCharType="begin"/>
          </w:r>
          <w:r>
            <w:instrText xml:space="preserve"> PAGEREF _Toc21076589 \h </w:instrText>
          </w:r>
          <w:r>
            <w:fldChar w:fldCharType="separate"/>
          </w:r>
          <w:r>
            <w:t>8</w:t>
          </w:r>
          <w:r>
            <w:fldChar w:fldCharType="end"/>
          </w:r>
          <w:r>
            <w:fldChar w:fldCharType="end"/>
          </w:r>
        </w:p>
        <w:p>
          <w:pPr>
            <w:pStyle w:val="22"/>
            <w:tabs>
              <w:tab w:val="left" w:pos="880"/>
              <w:tab w:val="right" w:leader="dot" w:pos="8297"/>
            </w:tabs>
            <w:rPr>
              <w:rFonts w:asciiTheme="minorHAnsi" w:hAnsiTheme="minorHAnsi"/>
              <w:sz w:val="22"/>
              <w:szCs w:val="22"/>
              <w:lang w:val="it-IT" w:eastAsia="it-IT"/>
            </w:rPr>
          </w:pPr>
          <w:r>
            <w:fldChar w:fldCharType="begin"/>
          </w:r>
          <w:r>
            <w:instrText xml:space="preserve"> HYPERLINK \l "_Toc21076590" </w:instrText>
          </w:r>
          <w:r>
            <w:fldChar w:fldCharType="separate"/>
          </w:r>
          <w:r>
            <w:rPr>
              <w:rStyle w:val="18"/>
              <w:lang w:val="en-GB"/>
            </w:rPr>
            <w:t>III.</w:t>
          </w:r>
          <w:r>
            <w:rPr>
              <w:rFonts w:asciiTheme="minorHAnsi" w:hAnsiTheme="minorHAnsi"/>
              <w:sz w:val="22"/>
              <w:szCs w:val="22"/>
              <w:lang w:val="it-IT" w:eastAsia="it-IT"/>
            </w:rPr>
            <w:tab/>
          </w:r>
          <w:r>
            <w:rPr>
              <w:rStyle w:val="18"/>
              <w:lang w:val="en-GB"/>
            </w:rPr>
            <w:t>OBLIGATIONS OF THE SUPPLIER</w:t>
          </w:r>
          <w:r>
            <w:tab/>
          </w:r>
          <w:r>
            <w:fldChar w:fldCharType="begin"/>
          </w:r>
          <w:r>
            <w:instrText xml:space="preserve"> PAGEREF _Toc21076590 \h </w:instrText>
          </w:r>
          <w:r>
            <w:fldChar w:fldCharType="separate"/>
          </w:r>
          <w:r>
            <w:t>8</w:t>
          </w:r>
          <w:r>
            <w:fldChar w:fldCharType="end"/>
          </w:r>
          <w:r>
            <w:fldChar w:fldCharType="end"/>
          </w:r>
        </w:p>
        <w:p>
          <w:pPr>
            <w:pStyle w:val="23"/>
            <w:tabs>
              <w:tab w:val="left" w:pos="880"/>
              <w:tab w:val="right" w:leader="dot" w:pos="8297"/>
            </w:tabs>
            <w:rPr>
              <w:rFonts w:asciiTheme="minorHAnsi" w:hAnsiTheme="minorHAnsi"/>
              <w:sz w:val="22"/>
              <w:szCs w:val="22"/>
              <w:lang w:val="it-IT" w:eastAsia="it-IT"/>
            </w:rPr>
          </w:pPr>
          <w:r>
            <w:fldChar w:fldCharType="begin"/>
          </w:r>
          <w:r>
            <w:instrText xml:space="preserve"> HYPERLINK \l "_Toc21076591" </w:instrText>
          </w:r>
          <w:r>
            <w:fldChar w:fldCharType="separate"/>
          </w:r>
          <w:r>
            <w:rPr>
              <w:rStyle w:val="18"/>
              <w:lang w:val="en-GB"/>
            </w:rPr>
            <w:t>20.</w:t>
          </w:r>
          <w:r>
            <w:rPr>
              <w:rFonts w:asciiTheme="minorHAnsi" w:hAnsiTheme="minorHAnsi"/>
              <w:sz w:val="22"/>
              <w:szCs w:val="22"/>
              <w:lang w:val="it-IT" w:eastAsia="it-IT"/>
            </w:rPr>
            <w:tab/>
          </w:r>
          <w:r>
            <w:rPr>
              <w:rStyle w:val="18"/>
            </w:rPr>
            <w:t>General</w:t>
          </w:r>
          <w:r>
            <w:tab/>
          </w:r>
          <w:r>
            <w:fldChar w:fldCharType="begin"/>
          </w:r>
          <w:r>
            <w:instrText xml:space="preserve"> PAGEREF _Toc21076591 \h </w:instrText>
          </w:r>
          <w:r>
            <w:fldChar w:fldCharType="separate"/>
          </w:r>
          <w:r>
            <w:t>8</w:t>
          </w:r>
          <w:r>
            <w:fldChar w:fldCharType="end"/>
          </w:r>
          <w:r>
            <w:fldChar w:fldCharType="end"/>
          </w:r>
        </w:p>
        <w:p>
          <w:pPr>
            <w:pStyle w:val="23"/>
            <w:tabs>
              <w:tab w:val="left" w:pos="880"/>
              <w:tab w:val="right" w:leader="dot" w:pos="8297"/>
            </w:tabs>
            <w:rPr>
              <w:rFonts w:asciiTheme="minorHAnsi" w:hAnsiTheme="minorHAnsi"/>
              <w:sz w:val="22"/>
              <w:szCs w:val="22"/>
              <w:lang w:val="it-IT" w:eastAsia="it-IT"/>
            </w:rPr>
          </w:pPr>
          <w:r>
            <w:fldChar w:fldCharType="begin"/>
          </w:r>
          <w:r>
            <w:instrText xml:space="preserve"> HYPERLINK \l "_Toc21076592" </w:instrText>
          </w:r>
          <w:r>
            <w:fldChar w:fldCharType="separate"/>
          </w:r>
          <w:r>
            <w:rPr>
              <w:rStyle w:val="18"/>
              <w:lang w:val="en-GB"/>
            </w:rPr>
            <w:t>21.</w:t>
          </w:r>
          <w:r>
            <w:rPr>
              <w:rFonts w:asciiTheme="minorHAnsi" w:hAnsiTheme="minorHAnsi"/>
              <w:sz w:val="22"/>
              <w:szCs w:val="22"/>
              <w:lang w:val="it-IT" w:eastAsia="it-IT"/>
            </w:rPr>
            <w:tab/>
          </w:r>
          <w:r>
            <w:rPr>
              <w:rStyle w:val="18"/>
            </w:rPr>
            <w:t>Law governing the Supply of Goods</w:t>
          </w:r>
          <w:r>
            <w:tab/>
          </w:r>
          <w:r>
            <w:fldChar w:fldCharType="begin"/>
          </w:r>
          <w:r>
            <w:instrText xml:space="preserve"> PAGEREF _Toc21076592 \h </w:instrText>
          </w:r>
          <w:r>
            <w:fldChar w:fldCharType="separate"/>
          </w:r>
          <w:r>
            <w:t>9</w:t>
          </w:r>
          <w:r>
            <w:fldChar w:fldCharType="end"/>
          </w:r>
          <w:r>
            <w:fldChar w:fldCharType="end"/>
          </w:r>
        </w:p>
        <w:p>
          <w:pPr>
            <w:pStyle w:val="23"/>
            <w:tabs>
              <w:tab w:val="left" w:pos="880"/>
              <w:tab w:val="right" w:leader="dot" w:pos="8297"/>
            </w:tabs>
            <w:rPr>
              <w:rFonts w:asciiTheme="minorHAnsi" w:hAnsiTheme="minorHAnsi"/>
              <w:sz w:val="22"/>
              <w:szCs w:val="22"/>
              <w:lang w:val="it-IT" w:eastAsia="it-IT"/>
            </w:rPr>
          </w:pPr>
          <w:r>
            <w:fldChar w:fldCharType="begin"/>
          </w:r>
          <w:r>
            <w:instrText xml:space="preserve"> HYPERLINK \l "_Toc21076593" </w:instrText>
          </w:r>
          <w:r>
            <w:fldChar w:fldCharType="separate"/>
          </w:r>
          <w:r>
            <w:rPr>
              <w:rStyle w:val="18"/>
              <w:lang w:val="en-GB"/>
            </w:rPr>
            <w:t>22.</w:t>
          </w:r>
          <w:r>
            <w:rPr>
              <w:rFonts w:asciiTheme="minorHAnsi" w:hAnsiTheme="minorHAnsi"/>
              <w:sz w:val="22"/>
              <w:szCs w:val="22"/>
              <w:lang w:val="it-IT" w:eastAsia="it-IT"/>
            </w:rPr>
            <w:tab/>
          </w:r>
          <w:r>
            <w:rPr>
              <w:rStyle w:val="18"/>
            </w:rPr>
            <w:t>Conflict of interest or conflicting activities</w:t>
          </w:r>
          <w:r>
            <w:tab/>
          </w:r>
          <w:r>
            <w:fldChar w:fldCharType="begin"/>
          </w:r>
          <w:r>
            <w:instrText xml:space="preserve"> PAGEREF _Toc21076593 \h </w:instrText>
          </w:r>
          <w:r>
            <w:fldChar w:fldCharType="separate"/>
          </w:r>
          <w:r>
            <w:t>9</w:t>
          </w:r>
          <w:r>
            <w:fldChar w:fldCharType="end"/>
          </w:r>
          <w:r>
            <w:fldChar w:fldCharType="end"/>
          </w:r>
        </w:p>
        <w:p>
          <w:pPr>
            <w:pStyle w:val="23"/>
            <w:tabs>
              <w:tab w:val="left" w:pos="880"/>
              <w:tab w:val="right" w:leader="dot" w:pos="8297"/>
            </w:tabs>
            <w:rPr>
              <w:rFonts w:asciiTheme="minorHAnsi" w:hAnsiTheme="minorHAnsi"/>
              <w:sz w:val="22"/>
              <w:szCs w:val="22"/>
              <w:lang w:val="it-IT" w:eastAsia="it-IT"/>
            </w:rPr>
          </w:pPr>
          <w:r>
            <w:fldChar w:fldCharType="begin"/>
          </w:r>
          <w:r>
            <w:instrText xml:space="preserve"> HYPERLINK \l "_Toc21076594" </w:instrText>
          </w:r>
          <w:r>
            <w:fldChar w:fldCharType="separate"/>
          </w:r>
          <w:r>
            <w:rPr>
              <w:rStyle w:val="18"/>
              <w:lang w:val="en-GB"/>
            </w:rPr>
            <w:t>23.</w:t>
          </w:r>
          <w:r>
            <w:rPr>
              <w:rFonts w:asciiTheme="minorHAnsi" w:hAnsiTheme="minorHAnsi"/>
              <w:sz w:val="22"/>
              <w:szCs w:val="22"/>
              <w:lang w:val="it-IT" w:eastAsia="it-IT"/>
            </w:rPr>
            <w:tab/>
          </w:r>
          <w:r>
            <w:rPr>
              <w:rStyle w:val="18"/>
            </w:rPr>
            <w:t>Confidentiality</w:t>
          </w:r>
          <w:r>
            <w:tab/>
          </w:r>
          <w:r>
            <w:fldChar w:fldCharType="begin"/>
          </w:r>
          <w:r>
            <w:instrText xml:space="preserve"> PAGEREF _Toc21076594 \h </w:instrText>
          </w:r>
          <w:r>
            <w:fldChar w:fldCharType="separate"/>
          </w:r>
          <w:r>
            <w:t>9</w:t>
          </w:r>
          <w:r>
            <w:fldChar w:fldCharType="end"/>
          </w:r>
          <w:r>
            <w:fldChar w:fldCharType="end"/>
          </w:r>
        </w:p>
        <w:p>
          <w:pPr>
            <w:pStyle w:val="23"/>
            <w:tabs>
              <w:tab w:val="left" w:pos="880"/>
              <w:tab w:val="right" w:leader="dot" w:pos="8297"/>
            </w:tabs>
            <w:rPr>
              <w:rFonts w:asciiTheme="minorHAnsi" w:hAnsiTheme="minorHAnsi"/>
              <w:sz w:val="22"/>
              <w:szCs w:val="22"/>
              <w:lang w:val="it-IT" w:eastAsia="it-IT"/>
            </w:rPr>
          </w:pPr>
          <w:r>
            <w:fldChar w:fldCharType="begin"/>
          </w:r>
          <w:r>
            <w:instrText xml:space="preserve"> HYPERLINK \l "_Toc21076595" </w:instrText>
          </w:r>
          <w:r>
            <w:fldChar w:fldCharType="separate"/>
          </w:r>
          <w:r>
            <w:rPr>
              <w:rStyle w:val="18"/>
              <w:lang w:val="en-GB"/>
            </w:rPr>
            <w:t>24.</w:t>
          </w:r>
          <w:r>
            <w:rPr>
              <w:rFonts w:asciiTheme="minorHAnsi" w:hAnsiTheme="minorHAnsi"/>
              <w:sz w:val="22"/>
              <w:szCs w:val="22"/>
              <w:lang w:val="it-IT" w:eastAsia="it-IT"/>
            </w:rPr>
            <w:tab/>
          </w:r>
          <w:r>
            <w:rPr>
              <w:rStyle w:val="18"/>
            </w:rPr>
            <w:t>Accounting, inspection and auditing</w:t>
          </w:r>
          <w:r>
            <w:tab/>
          </w:r>
          <w:r>
            <w:fldChar w:fldCharType="begin"/>
          </w:r>
          <w:r>
            <w:instrText xml:space="preserve"> PAGEREF _Toc21076595 \h </w:instrText>
          </w:r>
          <w:r>
            <w:fldChar w:fldCharType="separate"/>
          </w:r>
          <w:r>
            <w:t>9</w:t>
          </w:r>
          <w:r>
            <w:fldChar w:fldCharType="end"/>
          </w:r>
          <w:r>
            <w:fldChar w:fldCharType="end"/>
          </w:r>
        </w:p>
        <w:p>
          <w:pPr>
            <w:pStyle w:val="23"/>
            <w:tabs>
              <w:tab w:val="left" w:pos="880"/>
              <w:tab w:val="right" w:leader="dot" w:pos="8297"/>
            </w:tabs>
            <w:rPr>
              <w:rFonts w:asciiTheme="minorHAnsi" w:hAnsiTheme="minorHAnsi"/>
              <w:sz w:val="22"/>
              <w:szCs w:val="22"/>
              <w:lang w:val="it-IT" w:eastAsia="it-IT"/>
            </w:rPr>
          </w:pPr>
          <w:r>
            <w:fldChar w:fldCharType="begin"/>
          </w:r>
          <w:r>
            <w:instrText xml:space="preserve"> HYPERLINK \l "_Toc21076596" </w:instrText>
          </w:r>
          <w:r>
            <w:fldChar w:fldCharType="separate"/>
          </w:r>
          <w:r>
            <w:rPr>
              <w:rStyle w:val="18"/>
              <w:lang w:val="en-GB"/>
            </w:rPr>
            <w:t>25.</w:t>
          </w:r>
          <w:r>
            <w:rPr>
              <w:rFonts w:asciiTheme="minorHAnsi" w:hAnsiTheme="minorHAnsi"/>
              <w:sz w:val="22"/>
              <w:szCs w:val="22"/>
              <w:lang w:val="it-IT" w:eastAsia="it-IT"/>
            </w:rPr>
            <w:tab/>
          </w:r>
          <w:r>
            <w:rPr>
              <w:rStyle w:val="18"/>
            </w:rPr>
            <w:t>Patent rights</w:t>
          </w:r>
          <w:r>
            <w:tab/>
          </w:r>
          <w:r>
            <w:fldChar w:fldCharType="begin"/>
          </w:r>
          <w:r>
            <w:instrText xml:space="preserve"> PAGEREF _Toc21076596 \h </w:instrText>
          </w:r>
          <w:r>
            <w:fldChar w:fldCharType="separate"/>
          </w:r>
          <w:r>
            <w:t>9</w:t>
          </w:r>
          <w:r>
            <w:fldChar w:fldCharType="end"/>
          </w:r>
          <w:r>
            <w:fldChar w:fldCharType="end"/>
          </w:r>
        </w:p>
        <w:p>
          <w:pPr>
            <w:pStyle w:val="23"/>
            <w:tabs>
              <w:tab w:val="left" w:pos="880"/>
              <w:tab w:val="right" w:leader="dot" w:pos="8297"/>
            </w:tabs>
            <w:rPr>
              <w:rFonts w:asciiTheme="minorHAnsi" w:hAnsiTheme="minorHAnsi"/>
              <w:sz w:val="22"/>
              <w:szCs w:val="22"/>
              <w:lang w:val="it-IT" w:eastAsia="it-IT"/>
            </w:rPr>
          </w:pPr>
          <w:r>
            <w:fldChar w:fldCharType="begin"/>
          </w:r>
          <w:r>
            <w:instrText xml:space="preserve"> HYPERLINK \l "_Toc21076597" </w:instrText>
          </w:r>
          <w:r>
            <w:fldChar w:fldCharType="separate"/>
          </w:r>
          <w:r>
            <w:rPr>
              <w:rStyle w:val="18"/>
              <w:lang w:val="en-GB"/>
            </w:rPr>
            <w:t>26.</w:t>
          </w:r>
          <w:r>
            <w:rPr>
              <w:rFonts w:asciiTheme="minorHAnsi" w:hAnsiTheme="minorHAnsi"/>
              <w:sz w:val="22"/>
              <w:szCs w:val="22"/>
              <w:lang w:val="it-IT" w:eastAsia="it-IT"/>
            </w:rPr>
            <w:tab/>
          </w:r>
          <w:r>
            <w:rPr>
              <w:rStyle w:val="18"/>
            </w:rPr>
            <w:t>Documents prepared by the Supplier to be the Property of the Procuring Entity</w:t>
          </w:r>
          <w:r>
            <w:tab/>
          </w:r>
          <w:r>
            <w:fldChar w:fldCharType="begin"/>
          </w:r>
          <w:r>
            <w:instrText xml:space="preserve"> PAGEREF _Toc21076597 \h </w:instrText>
          </w:r>
          <w:r>
            <w:fldChar w:fldCharType="separate"/>
          </w:r>
          <w:r>
            <w:t>9</w:t>
          </w:r>
          <w:r>
            <w:fldChar w:fldCharType="end"/>
          </w:r>
          <w:r>
            <w:fldChar w:fldCharType="end"/>
          </w:r>
        </w:p>
        <w:p>
          <w:pPr>
            <w:pStyle w:val="23"/>
            <w:tabs>
              <w:tab w:val="left" w:pos="880"/>
              <w:tab w:val="right" w:leader="dot" w:pos="8297"/>
            </w:tabs>
            <w:rPr>
              <w:rFonts w:asciiTheme="minorHAnsi" w:hAnsiTheme="minorHAnsi"/>
              <w:sz w:val="22"/>
              <w:szCs w:val="22"/>
              <w:lang w:val="it-IT" w:eastAsia="it-IT"/>
            </w:rPr>
          </w:pPr>
          <w:r>
            <w:fldChar w:fldCharType="begin"/>
          </w:r>
          <w:r>
            <w:instrText xml:space="preserve"> HYPERLINK \l "_Toc21076598" </w:instrText>
          </w:r>
          <w:r>
            <w:fldChar w:fldCharType="separate"/>
          </w:r>
          <w:r>
            <w:rPr>
              <w:rStyle w:val="18"/>
              <w:lang w:val="en-GB"/>
            </w:rPr>
            <w:t>27.</w:t>
          </w:r>
          <w:r>
            <w:rPr>
              <w:rFonts w:asciiTheme="minorHAnsi" w:hAnsiTheme="minorHAnsi"/>
              <w:sz w:val="22"/>
              <w:szCs w:val="22"/>
              <w:lang w:val="it-IT" w:eastAsia="it-IT"/>
            </w:rPr>
            <w:tab/>
          </w:r>
          <w:r>
            <w:rPr>
              <w:rStyle w:val="18"/>
            </w:rPr>
            <w:t>Inspections and tests</w:t>
          </w:r>
          <w:r>
            <w:tab/>
          </w:r>
          <w:r>
            <w:fldChar w:fldCharType="begin"/>
          </w:r>
          <w:r>
            <w:instrText xml:space="preserve"> PAGEREF _Toc21076598 \h </w:instrText>
          </w:r>
          <w:r>
            <w:fldChar w:fldCharType="separate"/>
          </w:r>
          <w:r>
            <w:t>10</w:t>
          </w:r>
          <w:r>
            <w:fldChar w:fldCharType="end"/>
          </w:r>
          <w:r>
            <w:fldChar w:fldCharType="end"/>
          </w:r>
        </w:p>
        <w:p>
          <w:pPr>
            <w:pStyle w:val="23"/>
            <w:tabs>
              <w:tab w:val="left" w:pos="880"/>
              <w:tab w:val="right" w:leader="dot" w:pos="8297"/>
            </w:tabs>
            <w:rPr>
              <w:rFonts w:asciiTheme="minorHAnsi" w:hAnsiTheme="minorHAnsi"/>
              <w:sz w:val="22"/>
              <w:szCs w:val="22"/>
              <w:lang w:val="it-IT" w:eastAsia="it-IT"/>
            </w:rPr>
          </w:pPr>
          <w:r>
            <w:fldChar w:fldCharType="begin"/>
          </w:r>
          <w:r>
            <w:instrText xml:space="preserve"> HYPERLINK \l "_Toc21076599" </w:instrText>
          </w:r>
          <w:r>
            <w:fldChar w:fldCharType="separate"/>
          </w:r>
          <w:r>
            <w:rPr>
              <w:rStyle w:val="18"/>
              <w:lang w:val="en-GB"/>
            </w:rPr>
            <w:t>28.</w:t>
          </w:r>
          <w:r>
            <w:rPr>
              <w:rFonts w:asciiTheme="minorHAnsi" w:hAnsiTheme="minorHAnsi"/>
              <w:sz w:val="22"/>
              <w:szCs w:val="22"/>
              <w:lang w:val="it-IT" w:eastAsia="it-IT"/>
            </w:rPr>
            <w:tab/>
          </w:r>
          <w:r>
            <w:rPr>
              <w:rStyle w:val="18"/>
            </w:rPr>
            <w:t>Packing</w:t>
          </w:r>
          <w:r>
            <w:tab/>
          </w:r>
          <w:r>
            <w:fldChar w:fldCharType="begin"/>
          </w:r>
          <w:r>
            <w:instrText xml:space="preserve"> PAGEREF _Toc21076599 \h </w:instrText>
          </w:r>
          <w:r>
            <w:fldChar w:fldCharType="separate"/>
          </w:r>
          <w:r>
            <w:t>10</w:t>
          </w:r>
          <w:r>
            <w:fldChar w:fldCharType="end"/>
          </w:r>
          <w:r>
            <w:fldChar w:fldCharType="end"/>
          </w:r>
        </w:p>
        <w:p>
          <w:pPr>
            <w:pStyle w:val="23"/>
            <w:tabs>
              <w:tab w:val="left" w:pos="880"/>
              <w:tab w:val="right" w:leader="dot" w:pos="8297"/>
            </w:tabs>
            <w:rPr>
              <w:rFonts w:asciiTheme="minorHAnsi" w:hAnsiTheme="minorHAnsi"/>
              <w:sz w:val="22"/>
              <w:szCs w:val="22"/>
              <w:lang w:val="it-IT" w:eastAsia="it-IT"/>
            </w:rPr>
          </w:pPr>
          <w:r>
            <w:fldChar w:fldCharType="begin"/>
          </w:r>
          <w:r>
            <w:instrText xml:space="preserve"> HYPERLINK \l "_Toc21076600" </w:instrText>
          </w:r>
          <w:r>
            <w:fldChar w:fldCharType="separate"/>
          </w:r>
          <w:r>
            <w:rPr>
              <w:rStyle w:val="18"/>
              <w:lang w:val="en-GB"/>
            </w:rPr>
            <w:t>29.</w:t>
          </w:r>
          <w:r>
            <w:rPr>
              <w:rFonts w:asciiTheme="minorHAnsi" w:hAnsiTheme="minorHAnsi"/>
              <w:sz w:val="22"/>
              <w:szCs w:val="22"/>
              <w:lang w:val="it-IT" w:eastAsia="it-IT"/>
            </w:rPr>
            <w:tab/>
          </w:r>
          <w:r>
            <w:rPr>
              <w:rStyle w:val="18"/>
            </w:rPr>
            <w:t>Delivery and documents</w:t>
          </w:r>
          <w:r>
            <w:tab/>
          </w:r>
          <w:r>
            <w:fldChar w:fldCharType="begin"/>
          </w:r>
          <w:r>
            <w:instrText xml:space="preserve"> PAGEREF _Toc21076600 \h </w:instrText>
          </w:r>
          <w:r>
            <w:fldChar w:fldCharType="separate"/>
          </w:r>
          <w:r>
            <w:t>10</w:t>
          </w:r>
          <w:r>
            <w:fldChar w:fldCharType="end"/>
          </w:r>
          <w:r>
            <w:fldChar w:fldCharType="end"/>
          </w:r>
        </w:p>
        <w:p>
          <w:pPr>
            <w:pStyle w:val="23"/>
            <w:tabs>
              <w:tab w:val="left" w:pos="880"/>
              <w:tab w:val="right" w:leader="dot" w:pos="8297"/>
            </w:tabs>
            <w:rPr>
              <w:rFonts w:asciiTheme="minorHAnsi" w:hAnsiTheme="minorHAnsi"/>
              <w:sz w:val="22"/>
              <w:szCs w:val="22"/>
              <w:lang w:val="it-IT" w:eastAsia="it-IT"/>
            </w:rPr>
          </w:pPr>
          <w:r>
            <w:fldChar w:fldCharType="begin"/>
          </w:r>
          <w:r>
            <w:instrText xml:space="preserve"> HYPERLINK \l "_Toc21076601" </w:instrText>
          </w:r>
          <w:r>
            <w:fldChar w:fldCharType="separate"/>
          </w:r>
          <w:r>
            <w:rPr>
              <w:rStyle w:val="18"/>
              <w:lang w:val="en-GB"/>
            </w:rPr>
            <w:t>30.</w:t>
          </w:r>
          <w:r>
            <w:rPr>
              <w:rFonts w:asciiTheme="minorHAnsi" w:hAnsiTheme="minorHAnsi"/>
              <w:sz w:val="22"/>
              <w:szCs w:val="22"/>
              <w:lang w:val="it-IT" w:eastAsia="it-IT"/>
            </w:rPr>
            <w:tab/>
          </w:r>
          <w:r>
            <w:rPr>
              <w:rStyle w:val="18"/>
            </w:rPr>
            <w:t>Incidental services</w:t>
          </w:r>
          <w:r>
            <w:tab/>
          </w:r>
          <w:r>
            <w:fldChar w:fldCharType="begin"/>
          </w:r>
          <w:r>
            <w:instrText xml:space="preserve"> PAGEREF _Toc21076601 \h </w:instrText>
          </w:r>
          <w:r>
            <w:fldChar w:fldCharType="separate"/>
          </w:r>
          <w:r>
            <w:t>10</w:t>
          </w:r>
          <w:r>
            <w:fldChar w:fldCharType="end"/>
          </w:r>
          <w:r>
            <w:fldChar w:fldCharType="end"/>
          </w:r>
        </w:p>
        <w:p>
          <w:pPr>
            <w:pStyle w:val="23"/>
            <w:tabs>
              <w:tab w:val="left" w:pos="880"/>
              <w:tab w:val="right" w:leader="dot" w:pos="8297"/>
            </w:tabs>
            <w:rPr>
              <w:rFonts w:asciiTheme="minorHAnsi" w:hAnsiTheme="minorHAnsi"/>
              <w:sz w:val="22"/>
              <w:szCs w:val="22"/>
              <w:lang w:val="it-IT" w:eastAsia="it-IT"/>
            </w:rPr>
          </w:pPr>
          <w:r>
            <w:fldChar w:fldCharType="begin"/>
          </w:r>
          <w:r>
            <w:instrText xml:space="preserve"> HYPERLINK \l "_Toc21076602" </w:instrText>
          </w:r>
          <w:r>
            <w:fldChar w:fldCharType="separate"/>
          </w:r>
          <w:r>
            <w:rPr>
              <w:rStyle w:val="18"/>
              <w:lang w:val="en-GB"/>
            </w:rPr>
            <w:t>31.</w:t>
          </w:r>
          <w:r>
            <w:rPr>
              <w:rFonts w:asciiTheme="minorHAnsi" w:hAnsiTheme="minorHAnsi"/>
              <w:sz w:val="22"/>
              <w:szCs w:val="22"/>
              <w:lang w:val="it-IT" w:eastAsia="it-IT"/>
            </w:rPr>
            <w:tab/>
          </w:r>
          <w:r>
            <w:rPr>
              <w:rStyle w:val="18"/>
            </w:rPr>
            <w:t>Spare parts</w:t>
          </w:r>
          <w:r>
            <w:tab/>
          </w:r>
          <w:r>
            <w:fldChar w:fldCharType="begin"/>
          </w:r>
          <w:r>
            <w:instrText xml:space="preserve"> PAGEREF _Toc21076602 \h </w:instrText>
          </w:r>
          <w:r>
            <w:fldChar w:fldCharType="separate"/>
          </w:r>
          <w:r>
            <w:t>11</w:t>
          </w:r>
          <w:r>
            <w:fldChar w:fldCharType="end"/>
          </w:r>
          <w:r>
            <w:fldChar w:fldCharType="end"/>
          </w:r>
        </w:p>
        <w:p>
          <w:pPr>
            <w:pStyle w:val="23"/>
            <w:tabs>
              <w:tab w:val="left" w:pos="880"/>
              <w:tab w:val="right" w:leader="dot" w:pos="8297"/>
            </w:tabs>
            <w:rPr>
              <w:rFonts w:asciiTheme="minorHAnsi" w:hAnsiTheme="minorHAnsi"/>
              <w:sz w:val="22"/>
              <w:szCs w:val="22"/>
              <w:lang w:val="it-IT" w:eastAsia="it-IT"/>
            </w:rPr>
          </w:pPr>
          <w:r>
            <w:fldChar w:fldCharType="begin"/>
          </w:r>
          <w:r>
            <w:instrText xml:space="preserve"> HYPERLINK \l "_Toc21076603" </w:instrText>
          </w:r>
          <w:r>
            <w:fldChar w:fldCharType="separate"/>
          </w:r>
          <w:r>
            <w:rPr>
              <w:rStyle w:val="18"/>
              <w:lang w:val="en-GB"/>
            </w:rPr>
            <w:t>32.</w:t>
          </w:r>
          <w:r>
            <w:rPr>
              <w:rFonts w:asciiTheme="minorHAnsi" w:hAnsiTheme="minorHAnsi"/>
              <w:sz w:val="22"/>
              <w:szCs w:val="22"/>
              <w:lang w:val="it-IT" w:eastAsia="it-IT"/>
            </w:rPr>
            <w:tab/>
          </w:r>
          <w:r>
            <w:rPr>
              <w:rStyle w:val="18"/>
            </w:rPr>
            <w:t>Guarantee</w:t>
          </w:r>
          <w:r>
            <w:tab/>
          </w:r>
          <w:r>
            <w:fldChar w:fldCharType="begin"/>
          </w:r>
          <w:r>
            <w:instrText xml:space="preserve"> PAGEREF _Toc21076603 \h </w:instrText>
          </w:r>
          <w:r>
            <w:fldChar w:fldCharType="separate"/>
          </w:r>
          <w:r>
            <w:t>11</w:t>
          </w:r>
          <w:r>
            <w:fldChar w:fldCharType="end"/>
          </w:r>
          <w:r>
            <w:fldChar w:fldCharType="end"/>
          </w:r>
        </w:p>
        <w:p>
          <w:pPr>
            <w:pStyle w:val="23"/>
            <w:tabs>
              <w:tab w:val="left" w:pos="880"/>
              <w:tab w:val="right" w:leader="dot" w:pos="8297"/>
            </w:tabs>
            <w:rPr>
              <w:rFonts w:asciiTheme="minorHAnsi" w:hAnsiTheme="minorHAnsi"/>
              <w:sz w:val="22"/>
              <w:szCs w:val="22"/>
              <w:lang w:val="it-IT" w:eastAsia="it-IT"/>
            </w:rPr>
          </w:pPr>
          <w:r>
            <w:fldChar w:fldCharType="begin"/>
          </w:r>
          <w:r>
            <w:instrText xml:space="preserve"> HYPERLINK \l "_Toc21076604" </w:instrText>
          </w:r>
          <w:r>
            <w:fldChar w:fldCharType="separate"/>
          </w:r>
          <w:r>
            <w:rPr>
              <w:rStyle w:val="18"/>
              <w:lang w:val="en-GB"/>
            </w:rPr>
            <w:t>33.</w:t>
          </w:r>
          <w:r>
            <w:rPr>
              <w:rFonts w:asciiTheme="minorHAnsi" w:hAnsiTheme="minorHAnsi"/>
              <w:sz w:val="22"/>
              <w:szCs w:val="22"/>
              <w:lang w:val="it-IT" w:eastAsia="it-IT"/>
            </w:rPr>
            <w:tab/>
          </w:r>
          <w:r>
            <w:rPr>
              <w:rStyle w:val="18"/>
            </w:rPr>
            <w:t>Equipment and Materials furnished by the Procuring Entity</w:t>
          </w:r>
          <w:r>
            <w:tab/>
          </w:r>
          <w:r>
            <w:fldChar w:fldCharType="begin"/>
          </w:r>
          <w:r>
            <w:instrText xml:space="preserve"> PAGEREF _Toc21076604 \h </w:instrText>
          </w:r>
          <w:r>
            <w:fldChar w:fldCharType="separate"/>
          </w:r>
          <w:r>
            <w:t>11</w:t>
          </w:r>
          <w:r>
            <w:fldChar w:fldCharType="end"/>
          </w:r>
          <w:r>
            <w:fldChar w:fldCharType="end"/>
          </w:r>
        </w:p>
        <w:p>
          <w:pPr>
            <w:pStyle w:val="22"/>
            <w:tabs>
              <w:tab w:val="left" w:pos="880"/>
              <w:tab w:val="right" w:leader="dot" w:pos="8297"/>
            </w:tabs>
            <w:rPr>
              <w:rFonts w:asciiTheme="minorHAnsi" w:hAnsiTheme="minorHAnsi"/>
              <w:sz w:val="22"/>
              <w:szCs w:val="22"/>
              <w:lang w:val="it-IT" w:eastAsia="it-IT"/>
            </w:rPr>
          </w:pPr>
          <w:r>
            <w:fldChar w:fldCharType="begin"/>
          </w:r>
          <w:r>
            <w:instrText xml:space="preserve"> HYPERLINK \l "_Toc21076605" </w:instrText>
          </w:r>
          <w:r>
            <w:fldChar w:fldCharType="separate"/>
          </w:r>
          <w:r>
            <w:rPr>
              <w:rStyle w:val="18"/>
              <w:lang w:val="en-GB"/>
            </w:rPr>
            <w:t>IV.</w:t>
          </w:r>
          <w:r>
            <w:rPr>
              <w:rFonts w:asciiTheme="minorHAnsi" w:hAnsiTheme="minorHAnsi"/>
              <w:sz w:val="22"/>
              <w:szCs w:val="22"/>
              <w:lang w:val="it-IT" w:eastAsia="it-IT"/>
            </w:rPr>
            <w:tab/>
          </w:r>
          <w:r>
            <w:rPr>
              <w:rStyle w:val="18"/>
              <w:lang w:val="en-GB"/>
            </w:rPr>
            <w:t>OBLIGATIONS OF THE PROCURING ENTITY</w:t>
          </w:r>
          <w:r>
            <w:tab/>
          </w:r>
          <w:r>
            <w:fldChar w:fldCharType="begin"/>
          </w:r>
          <w:r>
            <w:instrText xml:space="preserve"> PAGEREF _Toc21076605 \h </w:instrText>
          </w:r>
          <w:r>
            <w:fldChar w:fldCharType="separate"/>
          </w:r>
          <w:r>
            <w:t>11</w:t>
          </w:r>
          <w:r>
            <w:fldChar w:fldCharType="end"/>
          </w:r>
          <w:r>
            <w:fldChar w:fldCharType="end"/>
          </w:r>
        </w:p>
        <w:p>
          <w:pPr>
            <w:pStyle w:val="23"/>
            <w:tabs>
              <w:tab w:val="left" w:pos="880"/>
              <w:tab w:val="right" w:leader="dot" w:pos="8297"/>
            </w:tabs>
            <w:rPr>
              <w:rFonts w:asciiTheme="minorHAnsi" w:hAnsiTheme="minorHAnsi"/>
              <w:sz w:val="22"/>
              <w:szCs w:val="22"/>
              <w:lang w:val="it-IT" w:eastAsia="it-IT"/>
            </w:rPr>
          </w:pPr>
          <w:r>
            <w:fldChar w:fldCharType="begin"/>
          </w:r>
          <w:r>
            <w:instrText xml:space="preserve"> HYPERLINK \l "_Toc21076606" </w:instrText>
          </w:r>
          <w:r>
            <w:fldChar w:fldCharType="separate"/>
          </w:r>
          <w:r>
            <w:rPr>
              <w:rStyle w:val="18"/>
              <w:lang w:val="en-GB"/>
            </w:rPr>
            <w:t>34.</w:t>
          </w:r>
          <w:r>
            <w:rPr>
              <w:rFonts w:asciiTheme="minorHAnsi" w:hAnsiTheme="minorHAnsi"/>
              <w:sz w:val="22"/>
              <w:szCs w:val="22"/>
              <w:lang w:val="it-IT" w:eastAsia="it-IT"/>
            </w:rPr>
            <w:tab/>
          </w:r>
          <w:r>
            <w:rPr>
              <w:rStyle w:val="18"/>
            </w:rPr>
            <w:t>Assistance and exemptions</w:t>
          </w:r>
          <w:r>
            <w:tab/>
          </w:r>
          <w:r>
            <w:fldChar w:fldCharType="begin"/>
          </w:r>
          <w:r>
            <w:instrText xml:space="preserve"> PAGEREF _Toc21076606 \h </w:instrText>
          </w:r>
          <w:r>
            <w:fldChar w:fldCharType="separate"/>
          </w:r>
          <w:r>
            <w:t>11</w:t>
          </w:r>
          <w:r>
            <w:fldChar w:fldCharType="end"/>
          </w:r>
          <w:r>
            <w:fldChar w:fldCharType="end"/>
          </w:r>
        </w:p>
        <w:p>
          <w:pPr>
            <w:pStyle w:val="23"/>
            <w:tabs>
              <w:tab w:val="left" w:pos="880"/>
              <w:tab w:val="right" w:leader="dot" w:pos="8297"/>
            </w:tabs>
            <w:rPr>
              <w:rFonts w:asciiTheme="minorHAnsi" w:hAnsiTheme="minorHAnsi"/>
              <w:sz w:val="22"/>
              <w:szCs w:val="22"/>
              <w:lang w:val="it-IT" w:eastAsia="it-IT"/>
            </w:rPr>
          </w:pPr>
          <w:r>
            <w:fldChar w:fldCharType="begin"/>
          </w:r>
          <w:r>
            <w:instrText xml:space="preserve"> HYPERLINK \l "_Toc21076607" </w:instrText>
          </w:r>
          <w:r>
            <w:fldChar w:fldCharType="separate"/>
          </w:r>
          <w:r>
            <w:rPr>
              <w:rStyle w:val="18"/>
              <w:lang w:val="en-GB"/>
            </w:rPr>
            <w:t>35.</w:t>
          </w:r>
          <w:r>
            <w:rPr>
              <w:rFonts w:asciiTheme="minorHAnsi" w:hAnsiTheme="minorHAnsi"/>
              <w:sz w:val="22"/>
              <w:szCs w:val="22"/>
              <w:lang w:val="it-IT" w:eastAsia="it-IT"/>
            </w:rPr>
            <w:tab/>
          </w:r>
          <w:r>
            <w:rPr>
              <w:rStyle w:val="18"/>
            </w:rPr>
            <w:t>Change in Applicable Laws</w:t>
          </w:r>
          <w:r>
            <w:tab/>
          </w:r>
          <w:r>
            <w:fldChar w:fldCharType="begin"/>
          </w:r>
          <w:r>
            <w:instrText xml:space="preserve"> PAGEREF _Toc21076607 \h </w:instrText>
          </w:r>
          <w:r>
            <w:fldChar w:fldCharType="separate"/>
          </w:r>
          <w:r>
            <w:t>12</w:t>
          </w:r>
          <w:r>
            <w:fldChar w:fldCharType="end"/>
          </w:r>
          <w:r>
            <w:fldChar w:fldCharType="end"/>
          </w:r>
        </w:p>
        <w:p>
          <w:pPr>
            <w:pStyle w:val="23"/>
            <w:tabs>
              <w:tab w:val="left" w:pos="880"/>
              <w:tab w:val="right" w:leader="dot" w:pos="8297"/>
            </w:tabs>
            <w:rPr>
              <w:rFonts w:asciiTheme="minorHAnsi" w:hAnsiTheme="minorHAnsi"/>
              <w:sz w:val="22"/>
              <w:szCs w:val="22"/>
              <w:lang w:val="it-IT" w:eastAsia="it-IT"/>
            </w:rPr>
          </w:pPr>
          <w:r>
            <w:fldChar w:fldCharType="begin"/>
          </w:r>
          <w:r>
            <w:instrText xml:space="preserve"> HYPERLINK \l "_Toc21076608" </w:instrText>
          </w:r>
          <w:r>
            <w:fldChar w:fldCharType="separate"/>
          </w:r>
          <w:r>
            <w:rPr>
              <w:rStyle w:val="18"/>
              <w:lang w:val="en-GB"/>
            </w:rPr>
            <w:t>36.</w:t>
          </w:r>
          <w:r>
            <w:rPr>
              <w:rFonts w:asciiTheme="minorHAnsi" w:hAnsiTheme="minorHAnsi"/>
              <w:sz w:val="22"/>
              <w:szCs w:val="22"/>
              <w:lang w:val="it-IT" w:eastAsia="it-IT"/>
            </w:rPr>
            <w:tab/>
          </w:r>
          <w:r>
            <w:rPr>
              <w:rStyle w:val="18"/>
            </w:rPr>
            <w:t>Supply of Goods, Facilities and Property of the Procuring Entity</w:t>
          </w:r>
          <w:r>
            <w:tab/>
          </w:r>
          <w:r>
            <w:fldChar w:fldCharType="begin"/>
          </w:r>
          <w:r>
            <w:instrText xml:space="preserve"> PAGEREF _Toc21076608 \h </w:instrText>
          </w:r>
          <w:r>
            <w:fldChar w:fldCharType="separate"/>
          </w:r>
          <w:r>
            <w:t>12</w:t>
          </w:r>
          <w:r>
            <w:fldChar w:fldCharType="end"/>
          </w:r>
          <w:r>
            <w:fldChar w:fldCharType="end"/>
          </w:r>
        </w:p>
        <w:p>
          <w:pPr>
            <w:pStyle w:val="23"/>
            <w:tabs>
              <w:tab w:val="left" w:pos="880"/>
              <w:tab w:val="right" w:leader="dot" w:pos="8297"/>
            </w:tabs>
            <w:rPr>
              <w:rFonts w:asciiTheme="minorHAnsi" w:hAnsiTheme="minorHAnsi"/>
              <w:sz w:val="22"/>
              <w:szCs w:val="22"/>
              <w:lang w:val="it-IT" w:eastAsia="it-IT"/>
            </w:rPr>
          </w:pPr>
          <w:r>
            <w:fldChar w:fldCharType="begin"/>
          </w:r>
          <w:r>
            <w:instrText xml:space="preserve"> HYPERLINK \l "_Toc21076609" </w:instrText>
          </w:r>
          <w:r>
            <w:fldChar w:fldCharType="separate"/>
          </w:r>
          <w:r>
            <w:rPr>
              <w:rStyle w:val="18"/>
              <w:lang w:val="en-GB"/>
            </w:rPr>
            <w:t>37.</w:t>
          </w:r>
          <w:r>
            <w:rPr>
              <w:rFonts w:asciiTheme="minorHAnsi" w:hAnsiTheme="minorHAnsi"/>
              <w:sz w:val="22"/>
              <w:szCs w:val="22"/>
              <w:lang w:val="it-IT" w:eastAsia="it-IT"/>
            </w:rPr>
            <w:tab/>
          </w:r>
          <w:r>
            <w:rPr>
              <w:rStyle w:val="18"/>
            </w:rPr>
            <w:t>Payments</w:t>
          </w:r>
          <w:r>
            <w:tab/>
          </w:r>
          <w:r>
            <w:fldChar w:fldCharType="begin"/>
          </w:r>
          <w:r>
            <w:instrText xml:space="preserve"> PAGEREF _Toc21076609 \h </w:instrText>
          </w:r>
          <w:r>
            <w:fldChar w:fldCharType="separate"/>
          </w:r>
          <w:r>
            <w:t>12</w:t>
          </w:r>
          <w:r>
            <w:fldChar w:fldCharType="end"/>
          </w:r>
          <w:r>
            <w:fldChar w:fldCharType="end"/>
          </w:r>
        </w:p>
        <w:p>
          <w:pPr>
            <w:pStyle w:val="22"/>
            <w:tabs>
              <w:tab w:val="left" w:pos="660"/>
              <w:tab w:val="right" w:leader="dot" w:pos="8297"/>
            </w:tabs>
            <w:rPr>
              <w:rFonts w:asciiTheme="minorHAnsi" w:hAnsiTheme="minorHAnsi"/>
              <w:sz w:val="22"/>
              <w:szCs w:val="22"/>
              <w:lang w:val="it-IT" w:eastAsia="it-IT"/>
            </w:rPr>
          </w:pPr>
          <w:r>
            <w:fldChar w:fldCharType="begin"/>
          </w:r>
          <w:r>
            <w:instrText xml:space="preserve"> HYPERLINK \l "_Toc21076610" </w:instrText>
          </w:r>
          <w:r>
            <w:fldChar w:fldCharType="separate"/>
          </w:r>
          <w:r>
            <w:rPr>
              <w:rStyle w:val="18"/>
              <w:lang w:val="en-GB"/>
            </w:rPr>
            <w:t>V.</w:t>
          </w:r>
          <w:r>
            <w:rPr>
              <w:rFonts w:asciiTheme="minorHAnsi" w:hAnsiTheme="minorHAnsi"/>
              <w:sz w:val="22"/>
              <w:szCs w:val="22"/>
              <w:lang w:val="it-IT" w:eastAsia="it-IT"/>
            </w:rPr>
            <w:tab/>
          </w:r>
          <w:r>
            <w:rPr>
              <w:rStyle w:val="18"/>
              <w:lang w:val="en-GB"/>
            </w:rPr>
            <w:t>PAYMENTS TO THE SUPPLIER</w:t>
          </w:r>
          <w:r>
            <w:tab/>
          </w:r>
          <w:r>
            <w:fldChar w:fldCharType="begin"/>
          </w:r>
          <w:r>
            <w:instrText xml:space="preserve"> PAGEREF _Toc21076610 \h </w:instrText>
          </w:r>
          <w:r>
            <w:fldChar w:fldCharType="separate"/>
          </w:r>
          <w:r>
            <w:t>12</w:t>
          </w:r>
          <w:r>
            <w:fldChar w:fldCharType="end"/>
          </w:r>
          <w:r>
            <w:fldChar w:fldCharType="end"/>
          </w:r>
        </w:p>
        <w:p>
          <w:pPr>
            <w:pStyle w:val="23"/>
            <w:tabs>
              <w:tab w:val="left" w:pos="880"/>
              <w:tab w:val="right" w:leader="dot" w:pos="8297"/>
            </w:tabs>
            <w:rPr>
              <w:rFonts w:asciiTheme="minorHAnsi" w:hAnsiTheme="minorHAnsi"/>
              <w:sz w:val="22"/>
              <w:szCs w:val="22"/>
              <w:lang w:val="it-IT" w:eastAsia="it-IT"/>
            </w:rPr>
          </w:pPr>
          <w:r>
            <w:fldChar w:fldCharType="begin"/>
          </w:r>
          <w:r>
            <w:instrText xml:space="preserve"> HYPERLINK \l "_Toc21076611" </w:instrText>
          </w:r>
          <w:r>
            <w:fldChar w:fldCharType="separate"/>
          </w:r>
          <w:r>
            <w:rPr>
              <w:rStyle w:val="18"/>
              <w:lang w:val="en-GB"/>
            </w:rPr>
            <w:t>38.</w:t>
          </w:r>
          <w:r>
            <w:rPr>
              <w:rFonts w:asciiTheme="minorHAnsi" w:hAnsiTheme="minorHAnsi"/>
              <w:sz w:val="22"/>
              <w:szCs w:val="22"/>
              <w:lang w:val="it-IT" w:eastAsia="it-IT"/>
            </w:rPr>
            <w:tab/>
          </w:r>
          <w:r>
            <w:rPr>
              <w:rStyle w:val="18"/>
            </w:rPr>
            <w:t>Currency</w:t>
          </w:r>
          <w:r>
            <w:tab/>
          </w:r>
          <w:r>
            <w:fldChar w:fldCharType="begin"/>
          </w:r>
          <w:r>
            <w:instrText xml:space="preserve"> PAGEREF _Toc21076611 \h </w:instrText>
          </w:r>
          <w:r>
            <w:fldChar w:fldCharType="separate"/>
          </w:r>
          <w:r>
            <w:t>12</w:t>
          </w:r>
          <w:r>
            <w:fldChar w:fldCharType="end"/>
          </w:r>
          <w:r>
            <w:fldChar w:fldCharType="end"/>
          </w:r>
        </w:p>
        <w:p>
          <w:pPr>
            <w:pStyle w:val="23"/>
            <w:tabs>
              <w:tab w:val="left" w:pos="880"/>
              <w:tab w:val="right" w:leader="dot" w:pos="8297"/>
            </w:tabs>
            <w:rPr>
              <w:rFonts w:asciiTheme="minorHAnsi" w:hAnsiTheme="minorHAnsi"/>
              <w:sz w:val="22"/>
              <w:szCs w:val="22"/>
              <w:lang w:val="it-IT" w:eastAsia="it-IT"/>
            </w:rPr>
          </w:pPr>
          <w:r>
            <w:fldChar w:fldCharType="begin"/>
          </w:r>
          <w:r>
            <w:instrText xml:space="preserve"> HYPERLINK \l "_Toc21076612" </w:instrText>
          </w:r>
          <w:r>
            <w:fldChar w:fldCharType="separate"/>
          </w:r>
          <w:r>
            <w:rPr>
              <w:rStyle w:val="18"/>
              <w:lang w:val="en-GB"/>
            </w:rPr>
            <w:t>39.</w:t>
          </w:r>
          <w:r>
            <w:rPr>
              <w:rFonts w:asciiTheme="minorHAnsi" w:hAnsiTheme="minorHAnsi"/>
              <w:sz w:val="22"/>
              <w:szCs w:val="22"/>
              <w:lang w:val="it-IT" w:eastAsia="it-IT"/>
            </w:rPr>
            <w:tab/>
          </w:r>
          <w:r>
            <w:rPr>
              <w:rStyle w:val="18"/>
            </w:rPr>
            <w:t>Prices</w:t>
          </w:r>
          <w:r>
            <w:tab/>
          </w:r>
          <w:r>
            <w:fldChar w:fldCharType="begin"/>
          </w:r>
          <w:r>
            <w:instrText xml:space="preserve"> PAGEREF _Toc21076612 \h </w:instrText>
          </w:r>
          <w:r>
            <w:fldChar w:fldCharType="separate"/>
          </w:r>
          <w:r>
            <w:t>12</w:t>
          </w:r>
          <w:r>
            <w:fldChar w:fldCharType="end"/>
          </w:r>
          <w:r>
            <w:fldChar w:fldCharType="end"/>
          </w:r>
        </w:p>
        <w:p>
          <w:pPr>
            <w:pStyle w:val="23"/>
            <w:tabs>
              <w:tab w:val="left" w:pos="880"/>
              <w:tab w:val="right" w:leader="dot" w:pos="8297"/>
            </w:tabs>
            <w:rPr>
              <w:rFonts w:asciiTheme="minorHAnsi" w:hAnsiTheme="minorHAnsi"/>
              <w:sz w:val="22"/>
              <w:szCs w:val="22"/>
              <w:lang w:val="it-IT" w:eastAsia="it-IT"/>
            </w:rPr>
          </w:pPr>
          <w:r>
            <w:fldChar w:fldCharType="begin"/>
          </w:r>
          <w:r>
            <w:instrText xml:space="preserve"> HYPERLINK \l "_Toc21076613" </w:instrText>
          </w:r>
          <w:r>
            <w:fldChar w:fldCharType="separate"/>
          </w:r>
          <w:r>
            <w:rPr>
              <w:rStyle w:val="18"/>
              <w:lang w:val="en-GB"/>
            </w:rPr>
            <w:t>40.</w:t>
          </w:r>
          <w:r>
            <w:rPr>
              <w:rFonts w:asciiTheme="minorHAnsi" w:hAnsiTheme="minorHAnsi"/>
              <w:sz w:val="22"/>
              <w:szCs w:val="22"/>
              <w:lang w:val="it-IT" w:eastAsia="it-IT"/>
            </w:rPr>
            <w:tab/>
          </w:r>
          <w:r>
            <w:rPr>
              <w:rStyle w:val="18"/>
            </w:rPr>
            <w:t>Remuneration and reimbursable expenditures</w:t>
          </w:r>
          <w:r>
            <w:tab/>
          </w:r>
          <w:r>
            <w:fldChar w:fldCharType="begin"/>
          </w:r>
          <w:r>
            <w:instrText xml:space="preserve"> PAGEREF _Toc21076613 \h </w:instrText>
          </w:r>
          <w:r>
            <w:fldChar w:fldCharType="separate"/>
          </w:r>
          <w:r>
            <w:t>12</w:t>
          </w:r>
          <w:r>
            <w:fldChar w:fldCharType="end"/>
          </w:r>
          <w:r>
            <w:fldChar w:fldCharType="end"/>
          </w:r>
        </w:p>
        <w:p>
          <w:pPr>
            <w:pStyle w:val="23"/>
            <w:tabs>
              <w:tab w:val="left" w:pos="880"/>
              <w:tab w:val="right" w:leader="dot" w:pos="8297"/>
            </w:tabs>
            <w:rPr>
              <w:rFonts w:asciiTheme="minorHAnsi" w:hAnsiTheme="minorHAnsi"/>
              <w:sz w:val="22"/>
              <w:szCs w:val="22"/>
              <w:lang w:val="it-IT" w:eastAsia="it-IT"/>
            </w:rPr>
          </w:pPr>
          <w:r>
            <w:fldChar w:fldCharType="begin"/>
          </w:r>
          <w:r>
            <w:instrText xml:space="preserve"> HYPERLINK \l "_Toc21076614" </w:instrText>
          </w:r>
          <w:r>
            <w:fldChar w:fldCharType="separate"/>
          </w:r>
          <w:r>
            <w:rPr>
              <w:rStyle w:val="18"/>
              <w:lang w:val="en-GB"/>
            </w:rPr>
            <w:t>41.</w:t>
          </w:r>
          <w:r>
            <w:rPr>
              <w:rFonts w:asciiTheme="minorHAnsi" w:hAnsiTheme="minorHAnsi"/>
              <w:sz w:val="22"/>
              <w:szCs w:val="22"/>
              <w:lang w:val="it-IT" w:eastAsia="it-IT"/>
            </w:rPr>
            <w:tab/>
          </w:r>
          <w:r>
            <w:rPr>
              <w:rStyle w:val="18"/>
            </w:rPr>
            <w:t>Change orders</w:t>
          </w:r>
          <w:r>
            <w:tab/>
          </w:r>
          <w:r>
            <w:fldChar w:fldCharType="begin"/>
          </w:r>
          <w:r>
            <w:instrText xml:space="preserve"> PAGEREF _Toc21076614 \h </w:instrText>
          </w:r>
          <w:r>
            <w:fldChar w:fldCharType="separate"/>
          </w:r>
          <w:r>
            <w:t>12</w:t>
          </w:r>
          <w:r>
            <w:fldChar w:fldCharType="end"/>
          </w:r>
          <w:r>
            <w:fldChar w:fldCharType="end"/>
          </w:r>
        </w:p>
        <w:p>
          <w:pPr>
            <w:pStyle w:val="22"/>
            <w:tabs>
              <w:tab w:val="left" w:pos="880"/>
              <w:tab w:val="right" w:leader="dot" w:pos="8297"/>
            </w:tabs>
            <w:rPr>
              <w:rFonts w:asciiTheme="minorHAnsi" w:hAnsiTheme="minorHAnsi"/>
              <w:sz w:val="22"/>
              <w:szCs w:val="22"/>
              <w:lang w:val="it-IT" w:eastAsia="it-IT"/>
            </w:rPr>
          </w:pPr>
          <w:r>
            <w:fldChar w:fldCharType="begin"/>
          </w:r>
          <w:r>
            <w:instrText xml:space="preserve"> HYPERLINK \l "_Toc21076615" </w:instrText>
          </w:r>
          <w:r>
            <w:fldChar w:fldCharType="separate"/>
          </w:r>
          <w:r>
            <w:rPr>
              <w:rStyle w:val="18"/>
              <w:lang w:val="en-GB"/>
            </w:rPr>
            <w:t>VI.</w:t>
          </w:r>
          <w:r>
            <w:rPr>
              <w:rFonts w:asciiTheme="minorHAnsi" w:hAnsiTheme="minorHAnsi"/>
              <w:sz w:val="22"/>
              <w:szCs w:val="22"/>
              <w:lang w:val="it-IT" w:eastAsia="it-IT"/>
            </w:rPr>
            <w:tab/>
          </w:r>
          <w:r>
            <w:rPr>
              <w:rStyle w:val="18"/>
              <w:lang w:val="en-GB"/>
            </w:rPr>
            <w:t>FAIRNESS AND GOOD FAITH</w:t>
          </w:r>
          <w:r>
            <w:tab/>
          </w:r>
          <w:r>
            <w:fldChar w:fldCharType="begin"/>
          </w:r>
          <w:r>
            <w:instrText xml:space="preserve"> PAGEREF _Toc21076615 \h </w:instrText>
          </w:r>
          <w:r>
            <w:fldChar w:fldCharType="separate"/>
          </w:r>
          <w:r>
            <w:t>13</w:t>
          </w:r>
          <w:r>
            <w:fldChar w:fldCharType="end"/>
          </w:r>
          <w:r>
            <w:fldChar w:fldCharType="end"/>
          </w:r>
        </w:p>
        <w:p>
          <w:pPr>
            <w:pStyle w:val="23"/>
            <w:tabs>
              <w:tab w:val="left" w:pos="880"/>
              <w:tab w:val="right" w:leader="dot" w:pos="8297"/>
            </w:tabs>
            <w:rPr>
              <w:rFonts w:asciiTheme="minorHAnsi" w:hAnsiTheme="minorHAnsi"/>
              <w:sz w:val="22"/>
              <w:szCs w:val="22"/>
              <w:lang w:val="it-IT" w:eastAsia="it-IT"/>
            </w:rPr>
          </w:pPr>
          <w:r>
            <w:fldChar w:fldCharType="begin"/>
          </w:r>
          <w:r>
            <w:instrText xml:space="preserve"> HYPERLINK \l "_Toc21076616" </w:instrText>
          </w:r>
          <w:r>
            <w:fldChar w:fldCharType="separate"/>
          </w:r>
          <w:r>
            <w:rPr>
              <w:rStyle w:val="18"/>
              <w:lang w:val="en-GB"/>
            </w:rPr>
            <w:t>42.</w:t>
          </w:r>
          <w:r>
            <w:rPr>
              <w:rFonts w:asciiTheme="minorHAnsi" w:hAnsiTheme="minorHAnsi"/>
              <w:sz w:val="22"/>
              <w:szCs w:val="22"/>
              <w:lang w:val="it-IT" w:eastAsia="it-IT"/>
            </w:rPr>
            <w:tab/>
          </w:r>
          <w:r>
            <w:rPr>
              <w:rStyle w:val="18"/>
            </w:rPr>
            <w:t>Good Faith</w:t>
          </w:r>
          <w:r>
            <w:tab/>
          </w:r>
          <w:r>
            <w:fldChar w:fldCharType="begin"/>
          </w:r>
          <w:r>
            <w:instrText xml:space="preserve"> PAGEREF _Toc21076616 \h </w:instrText>
          </w:r>
          <w:r>
            <w:fldChar w:fldCharType="separate"/>
          </w:r>
          <w:r>
            <w:t>13</w:t>
          </w:r>
          <w:r>
            <w:fldChar w:fldCharType="end"/>
          </w:r>
          <w:r>
            <w:fldChar w:fldCharType="end"/>
          </w:r>
        </w:p>
        <w:p>
          <w:pPr>
            <w:pStyle w:val="23"/>
            <w:tabs>
              <w:tab w:val="left" w:pos="880"/>
              <w:tab w:val="right" w:leader="dot" w:pos="8297"/>
            </w:tabs>
            <w:rPr>
              <w:rFonts w:asciiTheme="minorHAnsi" w:hAnsiTheme="minorHAnsi"/>
              <w:sz w:val="22"/>
              <w:szCs w:val="22"/>
              <w:lang w:val="it-IT" w:eastAsia="it-IT"/>
            </w:rPr>
          </w:pPr>
          <w:r>
            <w:fldChar w:fldCharType="begin"/>
          </w:r>
          <w:r>
            <w:instrText xml:space="preserve"> HYPERLINK \l "_Toc21076617" </w:instrText>
          </w:r>
          <w:r>
            <w:fldChar w:fldCharType="separate"/>
          </w:r>
          <w:r>
            <w:rPr>
              <w:rStyle w:val="18"/>
              <w:lang w:val="en-GB"/>
            </w:rPr>
            <w:t>43.</w:t>
          </w:r>
          <w:r>
            <w:rPr>
              <w:rFonts w:asciiTheme="minorHAnsi" w:hAnsiTheme="minorHAnsi"/>
              <w:sz w:val="22"/>
              <w:szCs w:val="22"/>
              <w:lang w:val="it-IT" w:eastAsia="it-IT"/>
            </w:rPr>
            <w:tab/>
          </w:r>
          <w:r>
            <w:rPr>
              <w:rStyle w:val="18"/>
            </w:rPr>
            <w:t>Operation of the Contract</w:t>
          </w:r>
          <w:r>
            <w:tab/>
          </w:r>
          <w:r>
            <w:fldChar w:fldCharType="begin"/>
          </w:r>
          <w:r>
            <w:instrText xml:space="preserve"> PAGEREF _Toc21076617 \h </w:instrText>
          </w:r>
          <w:r>
            <w:fldChar w:fldCharType="separate"/>
          </w:r>
          <w:r>
            <w:t>13</w:t>
          </w:r>
          <w:r>
            <w:fldChar w:fldCharType="end"/>
          </w:r>
          <w:r>
            <w:fldChar w:fldCharType="end"/>
          </w:r>
        </w:p>
        <w:p>
          <w:pPr>
            <w:pStyle w:val="22"/>
            <w:tabs>
              <w:tab w:val="left" w:pos="880"/>
              <w:tab w:val="right" w:leader="dot" w:pos="8297"/>
            </w:tabs>
            <w:rPr>
              <w:rFonts w:asciiTheme="minorHAnsi" w:hAnsiTheme="minorHAnsi"/>
              <w:sz w:val="22"/>
              <w:szCs w:val="22"/>
              <w:lang w:val="it-IT" w:eastAsia="it-IT"/>
            </w:rPr>
          </w:pPr>
          <w:r>
            <w:fldChar w:fldCharType="begin"/>
          </w:r>
          <w:r>
            <w:instrText xml:space="preserve"> HYPERLINK \l "_Toc21076618" </w:instrText>
          </w:r>
          <w:r>
            <w:fldChar w:fldCharType="separate"/>
          </w:r>
          <w:r>
            <w:rPr>
              <w:rStyle w:val="18"/>
              <w:lang w:val="en-GB"/>
            </w:rPr>
            <w:t>VII.</w:t>
          </w:r>
          <w:r>
            <w:rPr>
              <w:rFonts w:asciiTheme="minorHAnsi" w:hAnsiTheme="minorHAnsi"/>
              <w:sz w:val="22"/>
              <w:szCs w:val="22"/>
              <w:lang w:val="it-IT" w:eastAsia="it-IT"/>
            </w:rPr>
            <w:tab/>
          </w:r>
          <w:r>
            <w:rPr>
              <w:rStyle w:val="18"/>
              <w:lang w:val="en-GB"/>
            </w:rPr>
            <w:t>SETTLEMENT OF DISPUTES</w:t>
          </w:r>
          <w:r>
            <w:tab/>
          </w:r>
          <w:r>
            <w:fldChar w:fldCharType="begin"/>
          </w:r>
          <w:r>
            <w:instrText xml:space="preserve"> PAGEREF _Toc21076618 \h </w:instrText>
          </w:r>
          <w:r>
            <w:fldChar w:fldCharType="separate"/>
          </w:r>
          <w:r>
            <w:t>13</w:t>
          </w:r>
          <w:r>
            <w:fldChar w:fldCharType="end"/>
          </w:r>
          <w:r>
            <w:fldChar w:fldCharType="end"/>
          </w:r>
        </w:p>
        <w:p>
          <w:pPr>
            <w:pStyle w:val="23"/>
            <w:tabs>
              <w:tab w:val="left" w:pos="880"/>
              <w:tab w:val="right" w:leader="dot" w:pos="8297"/>
            </w:tabs>
            <w:rPr>
              <w:rFonts w:asciiTheme="minorHAnsi" w:hAnsiTheme="minorHAnsi"/>
              <w:sz w:val="22"/>
              <w:szCs w:val="22"/>
              <w:lang w:val="it-IT" w:eastAsia="it-IT"/>
            </w:rPr>
          </w:pPr>
          <w:r>
            <w:fldChar w:fldCharType="begin"/>
          </w:r>
          <w:r>
            <w:instrText xml:space="preserve"> HYPERLINK \l "_Toc21076619" </w:instrText>
          </w:r>
          <w:r>
            <w:fldChar w:fldCharType="separate"/>
          </w:r>
          <w:r>
            <w:rPr>
              <w:rStyle w:val="18"/>
              <w:lang w:val="en-GB"/>
            </w:rPr>
            <w:t>44.</w:t>
          </w:r>
          <w:r>
            <w:rPr>
              <w:rFonts w:asciiTheme="minorHAnsi" w:hAnsiTheme="minorHAnsi"/>
              <w:sz w:val="22"/>
              <w:szCs w:val="22"/>
              <w:lang w:val="it-IT" w:eastAsia="it-IT"/>
            </w:rPr>
            <w:tab/>
          </w:r>
          <w:r>
            <w:rPr>
              <w:rStyle w:val="18"/>
            </w:rPr>
            <w:t>Amicable Settlement</w:t>
          </w:r>
          <w:r>
            <w:tab/>
          </w:r>
          <w:r>
            <w:fldChar w:fldCharType="begin"/>
          </w:r>
          <w:r>
            <w:instrText xml:space="preserve"> PAGEREF _Toc21076619 \h </w:instrText>
          </w:r>
          <w:r>
            <w:fldChar w:fldCharType="separate"/>
          </w:r>
          <w:r>
            <w:t>13</w:t>
          </w:r>
          <w:r>
            <w:fldChar w:fldCharType="end"/>
          </w:r>
          <w:r>
            <w:fldChar w:fldCharType="end"/>
          </w:r>
        </w:p>
        <w:p>
          <w:pPr>
            <w:pStyle w:val="23"/>
            <w:tabs>
              <w:tab w:val="left" w:pos="880"/>
              <w:tab w:val="right" w:leader="dot" w:pos="8297"/>
            </w:tabs>
            <w:rPr>
              <w:rFonts w:asciiTheme="minorHAnsi" w:hAnsiTheme="minorHAnsi"/>
              <w:sz w:val="22"/>
              <w:szCs w:val="22"/>
              <w:lang w:val="it-IT" w:eastAsia="it-IT"/>
            </w:rPr>
          </w:pPr>
          <w:r>
            <w:fldChar w:fldCharType="begin"/>
          </w:r>
          <w:r>
            <w:instrText xml:space="preserve"> HYPERLINK \l "_Toc21076620" </w:instrText>
          </w:r>
          <w:r>
            <w:fldChar w:fldCharType="separate"/>
          </w:r>
          <w:r>
            <w:rPr>
              <w:rStyle w:val="18"/>
              <w:lang w:val="en-GB"/>
            </w:rPr>
            <w:t>45.</w:t>
          </w:r>
          <w:r>
            <w:rPr>
              <w:rFonts w:asciiTheme="minorHAnsi" w:hAnsiTheme="minorHAnsi"/>
              <w:sz w:val="22"/>
              <w:szCs w:val="22"/>
              <w:lang w:val="it-IT" w:eastAsia="it-IT"/>
            </w:rPr>
            <w:tab/>
          </w:r>
          <w:r>
            <w:rPr>
              <w:rStyle w:val="18"/>
            </w:rPr>
            <w:t>Dispute Settlement</w:t>
          </w:r>
          <w:r>
            <w:tab/>
          </w:r>
          <w:r>
            <w:fldChar w:fldCharType="begin"/>
          </w:r>
          <w:r>
            <w:instrText xml:space="preserve"> PAGEREF _Toc21076620 \h </w:instrText>
          </w:r>
          <w:r>
            <w:fldChar w:fldCharType="separate"/>
          </w:r>
          <w:r>
            <w:t>13</w:t>
          </w:r>
          <w:r>
            <w:fldChar w:fldCharType="end"/>
          </w:r>
          <w:r>
            <w:fldChar w:fldCharType="end"/>
          </w:r>
        </w:p>
        <w:p>
          <w:r>
            <w:rPr>
              <w:b/>
              <w:bCs/>
            </w:rPr>
            <w:fldChar w:fldCharType="end"/>
          </w:r>
        </w:p>
      </w:sdtContent>
    </w:sdt>
    <w:p>
      <w:pPr>
        <w:pStyle w:val="56"/>
        <w:rPr>
          <w:sz w:val="24"/>
          <w:lang w:val="en-GB"/>
        </w:rPr>
      </w:pPr>
      <w:r>
        <w:rPr>
          <w:sz w:val="24"/>
          <w:lang w:val="en-GB"/>
        </w:rPr>
        <w:br w:type="page"/>
      </w:r>
    </w:p>
    <w:p>
      <w:pPr>
        <w:pStyle w:val="3"/>
        <w:rPr>
          <w:lang w:val="en-GB"/>
        </w:rPr>
      </w:pPr>
      <w:bookmarkStart w:id="2" w:name="_Toc21076569"/>
      <w:r>
        <w:t>General</w:t>
      </w:r>
      <w:r>
        <w:rPr>
          <w:lang w:val="en-GB"/>
        </w:rPr>
        <w:t xml:space="preserve"> provisions</w:t>
      </w:r>
      <w:bookmarkEnd w:id="2"/>
    </w:p>
    <w:p>
      <w:pPr>
        <w:pStyle w:val="4"/>
        <w:numPr>
          <w:ilvl w:val="0"/>
          <w:numId w:val="5"/>
        </w:numPr>
      </w:pPr>
      <w:bookmarkStart w:id="3" w:name="_Toc21076570"/>
      <w:r>
        <w:t>Preliminary provisions</w:t>
      </w:r>
      <w:bookmarkEnd w:id="3"/>
    </w:p>
    <w:p>
      <w:pPr>
        <w:pStyle w:val="28"/>
        <w:numPr>
          <w:ilvl w:val="1"/>
          <w:numId w:val="5"/>
        </w:numPr>
        <w:ind w:left="426"/>
      </w:pPr>
      <w:r>
        <w:rPr>
          <w:szCs w:val="20"/>
          <w:lang w:val="en-GB"/>
        </w:rPr>
        <w:t>The present General Contract Conditions shall be considered as part of the Contract. Any interpretation of the GCC shall be made in line with the general meaning of the Specific Contract Conditions.</w:t>
      </w:r>
    </w:p>
    <w:p>
      <w:pPr>
        <w:pStyle w:val="28"/>
        <w:numPr>
          <w:ilvl w:val="1"/>
          <w:numId w:val="5"/>
        </w:numPr>
        <w:ind w:left="426"/>
        <w:rPr>
          <w:szCs w:val="20"/>
          <w:lang w:val="en-GB"/>
        </w:rPr>
      </w:pPr>
      <w:r>
        <w:rPr>
          <w:szCs w:val="20"/>
          <w:lang w:val="en-GB"/>
        </w:rPr>
        <w:t>In case of inconsistency of any provision of the Contract, including its GCC and SCC, in terms of meaning of any trade term, rights and obligations of the Parties the meaning, rights and obligations as prescribed by the Public Procurement Act 2019 and the Public Procurement Regulations 2019 shall prevail.</w:t>
      </w:r>
    </w:p>
    <w:p>
      <w:pPr>
        <w:pStyle w:val="28"/>
        <w:numPr>
          <w:ilvl w:val="1"/>
          <w:numId w:val="5"/>
        </w:numPr>
        <w:ind w:left="426"/>
        <w:rPr>
          <w:szCs w:val="20"/>
          <w:lang w:val="en-GB"/>
        </w:rPr>
      </w:pPr>
      <w:r>
        <w:rPr>
          <w:szCs w:val="20"/>
          <w:lang w:val="en-GB"/>
        </w:rPr>
        <w:t>The Contract constitutes the entire agreement between the Procuring Entity and the Supplier and supersedes all communications, negotiations and agreements (whether written or oral) of the Parties with respect thereto made prior to the date of the Contract.</w:t>
      </w:r>
    </w:p>
    <w:p>
      <w:pPr>
        <w:pStyle w:val="4"/>
        <w:numPr>
          <w:ilvl w:val="0"/>
          <w:numId w:val="5"/>
        </w:numPr>
      </w:pPr>
      <w:bookmarkStart w:id="4" w:name="_Toc21076571"/>
      <w:r>
        <w:t>Definitions</w:t>
      </w:r>
      <w:bookmarkEnd w:id="4"/>
    </w:p>
    <w:p>
      <w:pPr>
        <w:pStyle w:val="28"/>
        <w:numPr>
          <w:ilvl w:val="1"/>
          <w:numId w:val="5"/>
        </w:numPr>
        <w:ind w:left="426"/>
        <w:rPr>
          <w:szCs w:val="20"/>
          <w:lang w:val="en-GB"/>
        </w:rPr>
      </w:pPr>
      <w:r>
        <w:rPr>
          <w:szCs w:val="20"/>
          <w:lang w:val="en-GB"/>
        </w:rPr>
        <w:t>The terms provided in the GCC shall have the following meaning:</w:t>
      </w:r>
    </w:p>
    <w:p>
      <w:pPr>
        <w:pStyle w:val="28"/>
        <w:numPr>
          <w:ilvl w:val="0"/>
          <w:numId w:val="6"/>
        </w:numPr>
        <w:spacing w:after="0"/>
        <w:contextualSpacing/>
        <w:rPr>
          <w:lang w:val="en-GB"/>
        </w:rPr>
      </w:pPr>
      <w:r>
        <w:rPr>
          <w:lang w:val="en-GB"/>
        </w:rPr>
        <w:t>“Amendment” means an agreed numbered change, in writing, of a Contract or its parts after the signature of both Parties.</w:t>
      </w:r>
    </w:p>
    <w:p>
      <w:pPr>
        <w:pStyle w:val="28"/>
        <w:numPr>
          <w:ilvl w:val="0"/>
          <w:numId w:val="6"/>
        </w:numPr>
        <w:rPr>
          <w:lang w:val="en-GB"/>
        </w:rPr>
      </w:pPr>
      <w:r>
        <w:rPr>
          <w:lang w:val="en-GB"/>
        </w:rPr>
        <w:t>“Applicable Laws” means the legal acts, regulations, and any other legislative instruments having the force of law in the Kiribati (or in such other country as may be specified in the SCC), as they may be issued and in force from time to time.</w:t>
      </w:r>
    </w:p>
    <w:p>
      <w:pPr>
        <w:pStyle w:val="28"/>
        <w:numPr>
          <w:ilvl w:val="0"/>
          <w:numId w:val="6"/>
        </w:numPr>
        <w:rPr>
          <w:lang w:val="en-GB"/>
        </w:rPr>
      </w:pPr>
      <w:r>
        <w:rPr>
          <w:lang w:val="en-GB"/>
        </w:rPr>
        <w:t>“Completion” means the fulfilment of the Supply of Goods by the Supplier in accordance with the terms and conditions set forth in the Contract.</w:t>
      </w:r>
    </w:p>
    <w:p>
      <w:pPr>
        <w:pStyle w:val="28"/>
        <w:numPr>
          <w:ilvl w:val="0"/>
          <w:numId w:val="6"/>
        </w:numPr>
        <w:rPr>
          <w:lang w:val="en-GB"/>
        </w:rPr>
      </w:pPr>
      <w:r>
        <w:rPr>
          <w:lang w:val="en-GB"/>
        </w:rPr>
        <w:t>“Contract” means the agreement of economic interest concluded in writing between the Supplier and the Procuring Entity that has as its object the obligation to provide Supply of Goods.</w:t>
      </w:r>
    </w:p>
    <w:p>
      <w:pPr>
        <w:pStyle w:val="28"/>
        <w:numPr>
          <w:ilvl w:val="0"/>
          <w:numId w:val="6"/>
        </w:numPr>
        <w:rPr>
          <w:lang w:val="en-GB"/>
        </w:rPr>
      </w:pPr>
      <w:bookmarkStart w:id="5" w:name="_Hlk18586386"/>
      <w:r>
        <w:rPr>
          <w:lang w:val="en-GB"/>
        </w:rPr>
        <w:t>“Contract Documents” means the documents listed in the Contract, including the GCC, the SCC and its annexes and any amendments to the SCC as agreed upon between the Parties.</w:t>
      </w:r>
      <w:bookmarkEnd w:id="5"/>
    </w:p>
    <w:p>
      <w:pPr>
        <w:pStyle w:val="28"/>
        <w:numPr>
          <w:ilvl w:val="0"/>
          <w:numId w:val="6"/>
        </w:numPr>
        <w:rPr>
          <w:lang w:val="en-GB"/>
        </w:rPr>
      </w:pPr>
      <w:r>
        <w:rPr>
          <w:lang w:val="en-GB"/>
        </w:rPr>
        <w:t>“Contract Price” means the price payable to the Supplier as specified in the Contract, subject to additions and adjustments or deductions, as may be made pursuant to the Contract.</w:t>
      </w:r>
    </w:p>
    <w:p>
      <w:pPr>
        <w:pStyle w:val="28"/>
        <w:numPr>
          <w:ilvl w:val="0"/>
          <w:numId w:val="6"/>
        </w:numPr>
        <w:rPr>
          <w:lang w:val="en-GB"/>
        </w:rPr>
      </w:pPr>
      <w:r>
        <w:rPr>
          <w:lang w:val="en-GB"/>
        </w:rPr>
        <w:t>“Day” means calendar day.</w:t>
      </w:r>
    </w:p>
    <w:p>
      <w:pPr>
        <w:pStyle w:val="28"/>
        <w:numPr>
          <w:ilvl w:val="0"/>
          <w:numId w:val="6"/>
        </w:numPr>
        <w:rPr>
          <w:lang w:val="en-GB"/>
        </w:rPr>
      </w:pPr>
      <w:r>
        <w:rPr>
          <w:lang w:val="en-GB"/>
        </w:rPr>
        <w:t>"Force Majeure" means an event which is beyond the reasonable control of a Party, and which makes a Party's performance of its obligations hereunder impossible or so impractical as reasonably to be considered impossible in the circumstances, and includes, but is not limited to, war, riots, civil disorder, earthquake, fire, explosion, storm, flood or other adverse weather conditions, strikes, lockouts or other industrial action (except where such strikes, lockouts or other industrial action are within the power of the Party invoking Force Majeure to prevent), confiscation or any other action by government agencies. Force Majeure shall not include any event which is caused by the negligence or intentional action of a Party or such Party's Subcontractors or agents or employees, nor any event which a diligent Party could reasonably have been expected to both take into account at the time of the conclusion of the Contract and avoid or overcome in the carrying out of its obligations hereunder. Force Majeure shall not include insufficiency of funds or failure to make any payment required hereunder.</w:t>
      </w:r>
    </w:p>
    <w:p>
      <w:pPr>
        <w:pStyle w:val="28"/>
        <w:numPr>
          <w:ilvl w:val="0"/>
          <w:numId w:val="6"/>
        </w:numPr>
        <w:rPr>
          <w:lang w:val="en-GB"/>
        </w:rPr>
      </w:pPr>
      <w:r>
        <w:rPr>
          <w:lang w:val="en-GB"/>
        </w:rPr>
        <w:t>“Goods” means tangible items, including assets and expendable items that are purchased, hired, leased or rented and related Supply of Goods, provided that the value of the Goods is higher than the value of the Service.</w:t>
      </w:r>
    </w:p>
    <w:p>
      <w:pPr>
        <w:pStyle w:val="28"/>
        <w:numPr>
          <w:ilvl w:val="0"/>
          <w:numId w:val="6"/>
        </w:numPr>
        <w:rPr>
          <w:lang w:val="en-GB"/>
        </w:rPr>
      </w:pPr>
      <w:r>
        <w:rPr>
          <w:lang w:val="en-GB"/>
        </w:rPr>
        <w:t>“GCC” means the General Conditions of Contract.</w:t>
      </w:r>
    </w:p>
    <w:p>
      <w:pPr>
        <w:pStyle w:val="28"/>
        <w:numPr>
          <w:ilvl w:val="0"/>
          <w:numId w:val="6"/>
        </w:numPr>
        <w:rPr>
          <w:lang w:val="en-GB"/>
        </w:rPr>
      </w:pPr>
      <w:r>
        <w:rPr>
          <w:lang w:val="en-GB"/>
        </w:rPr>
        <w:t>“Party” means the Procuring Entity or the Supplier, as the case may be; and “Parties” means both of them.</w:t>
      </w:r>
    </w:p>
    <w:p>
      <w:pPr>
        <w:pStyle w:val="28"/>
        <w:numPr>
          <w:ilvl w:val="0"/>
          <w:numId w:val="6"/>
        </w:numPr>
        <w:rPr>
          <w:lang w:val="en-GB"/>
        </w:rPr>
      </w:pPr>
      <w:r>
        <w:rPr>
          <w:lang w:val="en-GB"/>
        </w:rPr>
        <w:t>“Procuring Entity” means any governmental ministry, department, agency, organ or their unit, or any subdivision or multiplicity thereof, as designated by the Regulations, that engages in public procurement.</w:t>
      </w:r>
    </w:p>
    <w:p>
      <w:pPr>
        <w:pStyle w:val="28"/>
        <w:numPr>
          <w:ilvl w:val="0"/>
          <w:numId w:val="6"/>
        </w:numPr>
        <w:rPr>
          <w:lang w:val="en-GB"/>
        </w:rPr>
      </w:pPr>
      <w:r>
        <w:rPr>
          <w:lang w:val="en-GB"/>
        </w:rPr>
        <w:t>“SCC” means the Special Conditions of Contract.</w:t>
      </w:r>
    </w:p>
    <w:p>
      <w:pPr>
        <w:pStyle w:val="28"/>
        <w:numPr>
          <w:ilvl w:val="0"/>
          <w:numId w:val="6"/>
        </w:numPr>
        <w:rPr>
          <w:lang w:val="en-GB"/>
        </w:rPr>
      </w:pPr>
      <w:r>
        <w:rPr>
          <w:lang w:val="en-GB"/>
        </w:rPr>
        <w:t>“Services” means all those services ancillary to the supply of Goods, such as transportation and insurance, and any other incidental services, such as installation, commissioning, provision of technical assistance, training, and other such obligations of the Supplier covered under the Contract.</w:t>
      </w:r>
    </w:p>
    <w:p>
      <w:pPr>
        <w:pStyle w:val="28"/>
        <w:numPr>
          <w:ilvl w:val="0"/>
          <w:numId w:val="6"/>
        </w:numPr>
        <w:rPr>
          <w:lang w:val="en-GB"/>
        </w:rPr>
      </w:pPr>
      <w:r>
        <w:rPr>
          <w:lang w:val="en-GB"/>
        </w:rPr>
        <w:t>“Subcontractor” means an Supplier that is proposed by a Tenderer to perform part of a Contract.</w:t>
      </w:r>
    </w:p>
    <w:p>
      <w:pPr>
        <w:pStyle w:val="28"/>
        <w:numPr>
          <w:ilvl w:val="0"/>
          <w:numId w:val="6"/>
        </w:numPr>
        <w:rPr>
          <w:lang w:val="en-GB"/>
        </w:rPr>
      </w:pPr>
      <w:r>
        <w:rPr>
          <w:lang w:val="en-GB"/>
        </w:rPr>
        <w:t>“Supplier means any natural or legal person, which offers the provision of Supply of Goods.</w:t>
      </w:r>
    </w:p>
    <w:p>
      <w:pPr>
        <w:pStyle w:val="4"/>
        <w:numPr>
          <w:ilvl w:val="0"/>
          <w:numId w:val="5"/>
        </w:numPr>
      </w:pPr>
      <w:bookmarkStart w:id="6" w:name="_Toc21076572"/>
      <w:bookmarkStart w:id="7" w:name="_Ref10719407"/>
      <w:r>
        <w:t>Amendments and interpretation</w:t>
      </w:r>
      <w:bookmarkEnd w:id="6"/>
      <w:bookmarkEnd w:id="7"/>
    </w:p>
    <w:p>
      <w:pPr>
        <w:pStyle w:val="28"/>
        <w:numPr>
          <w:ilvl w:val="1"/>
          <w:numId w:val="5"/>
        </w:numPr>
        <w:ind w:left="426"/>
        <w:rPr>
          <w:szCs w:val="20"/>
          <w:lang w:val="en-GB"/>
        </w:rPr>
      </w:pPr>
      <w:r>
        <w:rPr>
          <w:szCs w:val="20"/>
          <w:lang w:val="en-GB"/>
        </w:rPr>
        <w:t>No amendment or other variation of the Contract shall be valid unless it is in writing, is dated, expressly refers to the Contract, and is signed by a duly authorized representative of the Supplier and the Procuring Entity.</w:t>
      </w:r>
    </w:p>
    <w:p>
      <w:pPr>
        <w:pStyle w:val="28"/>
        <w:numPr>
          <w:ilvl w:val="1"/>
          <w:numId w:val="5"/>
        </w:numPr>
        <w:ind w:left="426"/>
        <w:rPr>
          <w:szCs w:val="20"/>
          <w:lang w:val="en-GB"/>
        </w:rPr>
      </w:pPr>
      <w:r>
        <w:rPr>
          <w:szCs w:val="20"/>
          <w:lang w:val="en-GB"/>
        </w:rPr>
        <w:t>If any provision or condition of the Contract is prohibited or rendered invalid or unenforceable, such prohibition, invalidity or unenforceability shall not affect the validity or enforceability of any other provisions and conditions of the Contract.</w:t>
      </w:r>
    </w:p>
    <w:p>
      <w:pPr>
        <w:pStyle w:val="4"/>
        <w:numPr>
          <w:ilvl w:val="0"/>
          <w:numId w:val="5"/>
        </w:numPr>
      </w:pPr>
      <w:bookmarkStart w:id="8" w:name="_Toc21076573"/>
      <w:r>
        <w:t>Language</w:t>
      </w:r>
      <w:bookmarkEnd w:id="8"/>
    </w:p>
    <w:p>
      <w:pPr>
        <w:pStyle w:val="28"/>
        <w:numPr>
          <w:ilvl w:val="1"/>
          <w:numId w:val="5"/>
        </w:numPr>
        <w:ind w:left="426"/>
        <w:rPr>
          <w:szCs w:val="20"/>
          <w:lang w:val="en-GB"/>
        </w:rPr>
      </w:pPr>
      <w:r>
        <w:rPr>
          <w:szCs w:val="20"/>
          <w:lang w:val="en-GB"/>
        </w:rPr>
        <w:t>The Contract as well as all correspondence and documents relating to the Contract exchanged by the Supplier and the Procuring Entity, shall be written in English. Supporting documents and printed literature that are part of the Contract may be in another language provided they are accompanied by an accurate translation of the relevant passages in English.</w:t>
      </w:r>
    </w:p>
    <w:p>
      <w:pPr>
        <w:pStyle w:val="28"/>
        <w:numPr>
          <w:ilvl w:val="1"/>
          <w:numId w:val="5"/>
        </w:numPr>
        <w:ind w:left="426"/>
        <w:rPr>
          <w:szCs w:val="20"/>
          <w:lang w:val="en-GB"/>
        </w:rPr>
      </w:pPr>
      <w:r>
        <w:rPr>
          <w:szCs w:val="20"/>
          <w:lang w:val="en-GB"/>
        </w:rPr>
        <w:t>The Supplier shall bear all possible costs of translation to the official Contract language and all risks of the accuracy of such translation.</w:t>
      </w:r>
    </w:p>
    <w:p>
      <w:pPr>
        <w:pStyle w:val="4"/>
        <w:numPr>
          <w:ilvl w:val="0"/>
          <w:numId w:val="5"/>
        </w:numPr>
      </w:pPr>
      <w:bookmarkStart w:id="9" w:name="_Toc21076574"/>
      <w:r>
        <w:t>Joint Venture, Consortium or Association</w:t>
      </w:r>
      <w:bookmarkEnd w:id="9"/>
    </w:p>
    <w:p>
      <w:pPr>
        <w:pStyle w:val="28"/>
        <w:numPr>
          <w:ilvl w:val="1"/>
          <w:numId w:val="5"/>
        </w:numPr>
        <w:ind w:left="426"/>
        <w:rPr>
          <w:szCs w:val="20"/>
          <w:lang w:val="en-GB"/>
        </w:rPr>
      </w:pPr>
      <w:r>
        <w:rPr>
          <w:szCs w:val="20"/>
          <w:lang w:val="en-GB"/>
        </w:rPr>
        <w:t>If the Supplier is a joint venture, a consortium, or an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p>
      <w:pPr>
        <w:pStyle w:val="4"/>
        <w:numPr>
          <w:ilvl w:val="0"/>
          <w:numId w:val="5"/>
        </w:numPr>
      </w:pPr>
      <w:bookmarkStart w:id="10" w:name="_Toc21076575"/>
      <w:bookmarkStart w:id="11" w:name="_Ref10823799"/>
      <w:r>
        <w:t>Notice</w:t>
      </w:r>
      <w:bookmarkEnd w:id="10"/>
      <w:bookmarkEnd w:id="11"/>
    </w:p>
    <w:p>
      <w:pPr>
        <w:pStyle w:val="28"/>
        <w:numPr>
          <w:ilvl w:val="1"/>
          <w:numId w:val="5"/>
        </w:numPr>
        <w:ind w:left="426"/>
        <w:rPr>
          <w:szCs w:val="20"/>
          <w:lang w:val="en-GB"/>
        </w:rPr>
      </w:pPr>
      <w:r>
        <w:rPr>
          <w:szCs w:val="20"/>
          <w:lang w:val="en-GB"/>
        </w:rPr>
        <w:t>Any notice given by one party to the other pursuant to the Contract shall be in writing to the address specified in the SCC. The term “in writing” means any expression consisting of words and / or figures that can be read, reproduced and subsequently communicated. It may include information transmitted and stored by electronic means.</w:t>
      </w:r>
    </w:p>
    <w:p>
      <w:pPr>
        <w:pStyle w:val="28"/>
        <w:numPr>
          <w:ilvl w:val="1"/>
          <w:numId w:val="5"/>
        </w:numPr>
        <w:ind w:left="426"/>
        <w:rPr>
          <w:szCs w:val="20"/>
          <w:lang w:val="en-GB"/>
        </w:rPr>
      </w:pPr>
      <w:r>
        <w:rPr>
          <w:szCs w:val="20"/>
          <w:lang w:val="en-GB"/>
        </w:rPr>
        <w:t>A notice shall be effective when delivered to the other party or on the notice’s effective date.</w:t>
      </w:r>
    </w:p>
    <w:p>
      <w:pPr>
        <w:pStyle w:val="4"/>
        <w:numPr>
          <w:ilvl w:val="0"/>
          <w:numId w:val="5"/>
        </w:numPr>
      </w:pPr>
      <w:bookmarkStart w:id="12" w:name="_Toc21076576"/>
      <w:r>
        <w:t>Governing legislation</w:t>
      </w:r>
      <w:bookmarkEnd w:id="12"/>
    </w:p>
    <w:p>
      <w:pPr>
        <w:pStyle w:val="28"/>
        <w:numPr>
          <w:ilvl w:val="1"/>
          <w:numId w:val="5"/>
        </w:numPr>
        <w:ind w:left="426"/>
        <w:rPr>
          <w:szCs w:val="20"/>
          <w:lang w:val="en-GB"/>
        </w:rPr>
      </w:pPr>
      <w:r>
        <w:rPr>
          <w:szCs w:val="20"/>
          <w:lang w:val="en-GB"/>
        </w:rPr>
        <w:t>The Contract shall be governed by and interpreted in accordance with the legislation of Kiribati, unless otherwise specified in the SCC.</w:t>
      </w:r>
    </w:p>
    <w:p>
      <w:pPr>
        <w:pStyle w:val="4"/>
        <w:numPr>
          <w:ilvl w:val="0"/>
          <w:numId w:val="5"/>
        </w:numPr>
      </w:pPr>
      <w:bookmarkStart w:id="13" w:name="_Toc21076577"/>
      <w:bookmarkStart w:id="14" w:name="_Ref11851205"/>
      <w:r>
        <w:t>Taxes and Duties</w:t>
      </w:r>
      <w:bookmarkEnd w:id="13"/>
      <w:bookmarkEnd w:id="14"/>
    </w:p>
    <w:p>
      <w:pPr>
        <w:pStyle w:val="28"/>
        <w:numPr>
          <w:ilvl w:val="1"/>
          <w:numId w:val="5"/>
        </w:numPr>
        <w:ind w:left="426"/>
        <w:rPr>
          <w:szCs w:val="20"/>
          <w:lang w:val="en-GB"/>
        </w:rPr>
      </w:pPr>
      <w:r>
        <w:rPr>
          <w:szCs w:val="20"/>
          <w:lang w:val="en-GB"/>
        </w:rPr>
        <w:t>Unless otherwise specified in the SCC, the Supplier, including any Subcontractor and their personnel, shall pay such taxes, duties, fees and other impositions as may be levied under Applicable Laws.</w:t>
      </w:r>
    </w:p>
    <w:p>
      <w:pPr>
        <w:pStyle w:val="3"/>
        <w:rPr>
          <w:lang w:val="en-GB"/>
        </w:rPr>
      </w:pPr>
      <w:bookmarkStart w:id="15" w:name="_Toc21076578"/>
      <w:r>
        <w:rPr>
          <w:lang w:val="en-GB"/>
        </w:rPr>
        <w:t>IMPLEMENTATION OF THE CONTRACT</w:t>
      </w:r>
      <w:bookmarkEnd w:id="15"/>
    </w:p>
    <w:p>
      <w:pPr>
        <w:pStyle w:val="4"/>
        <w:numPr>
          <w:ilvl w:val="0"/>
          <w:numId w:val="5"/>
        </w:numPr>
      </w:pPr>
      <w:bookmarkStart w:id="16" w:name="_Toc21076579"/>
      <w:bookmarkStart w:id="17" w:name="_Ref12362149"/>
      <w:r>
        <w:t>Effectiveness of the Contract</w:t>
      </w:r>
      <w:bookmarkEnd w:id="16"/>
      <w:bookmarkEnd w:id="17"/>
    </w:p>
    <w:p>
      <w:pPr>
        <w:pStyle w:val="28"/>
        <w:numPr>
          <w:ilvl w:val="1"/>
          <w:numId w:val="5"/>
        </w:numPr>
        <w:ind w:left="426"/>
        <w:rPr>
          <w:szCs w:val="20"/>
          <w:lang w:val="en-GB"/>
        </w:rPr>
      </w:pPr>
      <w:bookmarkStart w:id="18" w:name="_Hlk20728420"/>
      <w:r>
        <w:rPr>
          <w:szCs w:val="20"/>
          <w:lang w:val="en-GB"/>
        </w:rPr>
        <w:t>The Contract shall be considered valid and shall come into effect (the “Effective Date”) following the signatures of the Parties</w:t>
      </w:r>
      <w:bookmarkEnd w:id="18"/>
      <w:r>
        <w:rPr>
          <w:szCs w:val="20"/>
          <w:lang w:val="en-GB"/>
        </w:rPr>
        <w:t>.</w:t>
      </w:r>
    </w:p>
    <w:p>
      <w:pPr>
        <w:pStyle w:val="4"/>
        <w:numPr>
          <w:ilvl w:val="0"/>
          <w:numId w:val="5"/>
        </w:numPr>
      </w:pPr>
      <w:bookmarkStart w:id="19" w:name="_Toc21076580"/>
      <w:r>
        <w:t>Country of origin</w:t>
      </w:r>
      <w:bookmarkEnd w:id="19"/>
    </w:p>
    <w:p>
      <w:pPr>
        <w:pStyle w:val="28"/>
        <w:numPr>
          <w:ilvl w:val="1"/>
          <w:numId w:val="5"/>
        </w:numPr>
        <w:ind w:left="426"/>
        <w:rPr>
          <w:szCs w:val="20"/>
          <w:lang w:val="en-GB"/>
        </w:rPr>
      </w:pPr>
      <w:r>
        <w:rPr>
          <w:szCs w:val="20"/>
          <w:lang w:val="en-GB"/>
        </w:rPr>
        <w:t>All Goods and Services supplied under the Contract shall have their origin in the countries and territories eligible under Kiribati legislation, as may be further elaborated in the SCC.</w:t>
      </w:r>
    </w:p>
    <w:p>
      <w:pPr>
        <w:pStyle w:val="28"/>
        <w:numPr>
          <w:ilvl w:val="1"/>
          <w:numId w:val="5"/>
        </w:numPr>
        <w:ind w:left="426"/>
        <w:rPr>
          <w:szCs w:val="20"/>
          <w:lang w:val="en-GB"/>
        </w:rPr>
      </w:pPr>
      <w:r>
        <w:rPr>
          <w:szCs w:val="20"/>
          <w:lang w:val="en-GB"/>
        </w:rPr>
        <w:t>For purposes of this section,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p>
      <w:pPr>
        <w:pStyle w:val="28"/>
        <w:numPr>
          <w:ilvl w:val="1"/>
          <w:numId w:val="5"/>
        </w:numPr>
        <w:ind w:left="426"/>
        <w:rPr>
          <w:szCs w:val="20"/>
          <w:lang w:val="en-GB"/>
        </w:rPr>
      </w:pPr>
      <w:r>
        <w:rPr>
          <w:szCs w:val="20"/>
          <w:lang w:val="en-GB"/>
        </w:rPr>
        <w:t>The origin of Goods and Services is distinct from the nationality of the Supplier.</w:t>
      </w:r>
    </w:p>
    <w:p>
      <w:pPr>
        <w:pStyle w:val="4"/>
        <w:numPr>
          <w:ilvl w:val="0"/>
          <w:numId w:val="5"/>
        </w:numPr>
      </w:pPr>
      <w:bookmarkStart w:id="20" w:name="_Toc21076581"/>
      <w:r>
        <w:t>Standards</w:t>
      </w:r>
      <w:bookmarkEnd w:id="20"/>
    </w:p>
    <w:p>
      <w:pPr>
        <w:pStyle w:val="28"/>
        <w:numPr>
          <w:ilvl w:val="1"/>
          <w:numId w:val="5"/>
        </w:numPr>
        <w:ind w:left="426"/>
        <w:rPr>
          <w:szCs w:val="20"/>
          <w:lang w:val="en-GB"/>
        </w:rPr>
      </w:pPr>
      <w:r>
        <w:rPr>
          <w:szCs w:val="20"/>
          <w:lang w:val="en-GB"/>
        </w:rPr>
        <w:t>The Goods supplied under the Contract shall conform to the standards mentioned in the Specifications, and, when no applicable standard is mentioned, to the authoritative standards appropriate to the Goods’ country of origin. Such standards shall be the latest issued by the concerned institution.</w:t>
      </w:r>
    </w:p>
    <w:p>
      <w:pPr>
        <w:pStyle w:val="4"/>
        <w:numPr>
          <w:ilvl w:val="0"/>
          <w:numId w:val="5"/>
        </w:numPr>
      </w:pPr>
      <w:bookmarkStart w:id="21" w:name="_Toc21076582"/>
      <w:bookmarkStart w:id="22" w:name="_Toc18488380"/>
      <w:bookmarkStart w:id="23" w:name="_Ref11850766"/>
      <w:bookmarkStart w:id="24" w:name="_Toc18487346"/>
      <w:r>
        <w:t>Acceptance</w:t>
      </w:r>
      <w:bookmarkEnd w:id="21"/>
    </w:p>
    <w:p>
      <w:pPr>
        <w:pStyle w:val="28"/>
        <w:numPr>
          <w:ilvl w:val="1"/>
          <w:numId w:val="5"/>
        </w:numPr>
        <w:ind w:left="426"/>
        <w:rPr>
          <w:szCs w:val="20"/>
          <w:lang w:val="en-GB"/>
        </w:rPr>
      </w:pPr>
      <w:r>
        <w:rPr>
          <w:szCs w:val="20"/>
          <w:lang w:val="en-GB"/>
        </w:rPr>
        <w:t>The Procuring Entity may reject the Goods when they are evaluated to be inadequate or not conforming to the Specifications provided in Annex B. The Procuring Entity shall ask the Supplier to either rectify or modify/improve or replace the Goods, as necessary, and at no cost to the Procuring Entity, to meet the required Specifications.</w:t>
      </w:r>
    </w:p>
    <w:p>
      <w:pPr>
        <w:pStyle w:val="28"/>
        <w:numPr>
          <w:ilvl w:val="1"/>
          <w:numId w:val="5"/>
        </w:numPr>
        <w:ind w:left="426"/>
        <w:rPr>
          <w:szCs w:val="20"/>
          <w:lang w:val="en-GB"/>
        </w:rPr>
      </w:pPr>
      <w:r>
        <w:rPr>
          <w:szCs w:val="20"/>
          <w:lang w:val="en-GB"/>
        </w:rPr>
        <w:t xml:space="preserve">If the inspection and/or testing carried out in line with GCC </w:t>
      </w:r>
      <w:r>
        <w:rPr>
          <w:szCs w:val="20"/>
          <w:lang w:val="en-GB"/>
        </w:rPr>
        <w:fldChar w:fldCharType="begin"/>
      </w:r>
      <w:r>
        <w:rPr>
          <w:szCs w:val="20"/>
          <w:lang w:val="en-GB"/>
        </w:rPr>
        <w:instrText xml:space="preserve"> REF _Ref18490472 \r \h </w:instrText>
      </w:r>
      <w:r>
        <w:rPr>
          <w:szCs w:val="20"/>
          <w:lang w:val="en-GB"/>
        </w:rPr>
        <w:fldChar w:fldCharType="separate"/>
      </w:r>
      <w:r>
        <w:rPr>
          <w:szCs w:val="20"/>
          <w:lang w:val="en-GB"/>
        </w:rPr>
        <w:t>27</w:t>
      </w:r>
      <w:r>
        <w:rPr>
          <w:szCs w:val="20"/>
          <w:lang w:val="en-GB"/>
        </w:rPr>
        <w:fldChar w:fldCharType="end"/>
      </w:r>
      <w:r>
        <w:rPr>
          <w:szCs w:val="20"/>
          <w:lang w:val="en-GB"/>
        </w:rPr>
        <w:t xml:space="preserve"> reveals that the Goods fully meet the Specifications, the Procuring Entity accepts the Goods by issuing a letter signed by the appropriate official certifying that the Goods were evaluated and found to be delivered according to the terms of the Contract. Such acceptance (“Final Acceptance”) shall not relieve the Supplier of the guarantee obligations as provided by GCC </w:t>
      </w:r>
      <w:r>
        <w:rPr>
          <w:szCs w:val="20"/>
          <w:lang w:val="en-GB"/>
        </w:rPr>
        <w:fldChar w:fldCharType="begin"/>
      </w:r>
      <w:r>
        <w:rPr>
          <w:szCs w:val="20"/>
          <w:lang w:val="en-GB"/>
        </w:rPr>
        <w:instrText xml:space="preserve"> REF _Ref18490559 \r \h </w:instrText>
      </w:r>
      <w:r>
        <w:rPr>
          <w:szCs w:val="20"/>
          <w:lang w:val="en-GB"/>
        </w:rPr>
        <w:fldChar w:fldCharType="separate"/>
      </w:r>
      <w:r>
        <w:rPr>
          <w:szCs w:val="20"/>
          <w:lang w:val="en-GB"/>
        </w:rPr>
        <w:t>32</w:t>
      </w:r>
      <w:r>
        <w:rPr>
          <w:szCs w:val="20"/>
          <w:lang w:val="en-GB"/>
        </w:rPr>
        <w:fldChar w:fldCharType="end"/>
      </w:r>
      <w:r>
        <w:rPr>
          <w:szCs w:val="20"/>
          <w:lang w:val="en-GB"/>
        </w:rPr>
        <w:t>.</w:t>
      </w:r>
    </w:p>
    <w:p>
      <w:pPr>
        <w:pStyle w:val="28"/>
        <w:numPr>
          <w:ilvl w:val="1"/>
          <w:numId w:val="5"/>
        </w:numPr>
        <w:ind w:left="426"/>
        <w:rPr>
          <w:szCs w:val="20"/>
          <w:lang w:val="en-GB"/>
        </w:rPr>
      </w:pPr>
      <w:r>
        <w:rPr>
          <w:szCs w:val="20"/>
          <w:lang w:val="en-GB"/>
        </w:rPr>
        <w:t>In case the Goods do not satisfy the Specifications in spite of the Supplier’s continual remedying, the Procuring Entity shall, after mutual discussion, be entitled to return the Goods to the Supplier. In this case, the Supplier shall refund the full amount prepaid for any rejected Goods and shall indemnify the Procuring Entity against all losses, damages and any additional expenses that the Procuring Entity incurred to repair or replace the defective Goods.</w:t>
      </w:r>
    </w:p>
    <w:p>
      <w:pPr>
        <w:pStyle w:val="28"/>
        <w:numPr>
          <w:ilvl w:val="1"/>
          <w:numId w:val="5"/>
        </w:numPr>
        <w:ind w:left="426"/>
        <w:rPr>
          <w:szCs w:val="20"/>
          <w:lang w:val="en-GB"/>
        </w:rPr>
      </w:pPr>
      <w:r>
        <w:rPr>
          <w:szCs w:val="20"/>
          <w:lang w:val="en-GB"/>
        </w:rPr>
        <w:t>Unless otherwise agreed, the risk of loss and title to the Goods pass to the Procuring Entity upon the Final Acceptance.</w:t>
      </w:r>
    </w:p>
    <w:p>
      <w:pPr>
        <w:pStyle w:val="4"/>
        <w:numPr>
          <w:ilvl w:val="0"/>
          <w:numId w:val="5"/>
        </w:numPr>
      </w:pPr>
      <w:bookmarkStart w:id="25" w:name="_Toc21076583"/>
      <w:r>
        <w:t>Delivery and delays</w:t>
      </w:r>
      <w:bookmarkEnd w:id="25"/>
    </w:p>
    <w:p>
      <w:pPr>
        <w:pStyle w:val="28"/>
        <w:numPr>
          <w:ilvl w:val="1"/>
          <w:numId w:val="5"/>
        </w:numPr>
        <w:ind w:left="426"/>
        <w:rPr>
          <w:szCs w:val="20"/>
          <w:lang w:val="en-GB"/>
        </w:rPr>
      </w:pPr>
      <w:bookmarkStart w:id="26" w:name="_Ref18490619"/>
      <w:r>
        <w:rPr>
          <w:szCs w:val="20"/>
          <w:lang w:val="en-GB"/>
        </w:rPr>
        <w:t>Unless otherwise provided in Annex B, all shipments of the Goods shall be shipped by the Supplier DDP – Delivery Duty Paid to the address advised by the Procuring Entity, in line with the INCOTERMS 2010 rules.</w:t>
      </w:r>
      <w:bookmarkEnd w:id="26"/>
    </w:p>
    <w:p>
      <w:pPr>
        <w:pStyle w:val="28"/>
        <w:numPr>
          <w:ilvl w:val="1"/>
          <w:numId w:val="5"/>
        </w:numPr>
        <w:ind w:left="426"/>
        <w:rPr>
          <w:szCs w:val="20"/>
          <w:lang w:val="en-GB"/>
        </w:rPr>
      </w:pPr>
      <w:r>
        <w:rPr>
          <w:szCs w:val="20"/>
          <w:lang w:val="en-GB"/>
        </w:rPr>
        <w:t xml:space="preserve">Without in any way limiting section GCC </w:t>
      </w:r>
      <w:r>
        <w:rPr>
          <w:szCs w:val="20"/>
          <w:lang w:val="en-GB"/>
        </w:rPr>
        <w:fldChar w:fldCharType="begin"/>
      </w:r>
      <w:r>
        <w:rPr>
          <w:szCs w:val="20"/>
          <w:lang w:val="en-GB"/>
        </w:rPr>
        <w:instrText xml:space="preserve"> REF _Ref18490619 \r \h </w:instrText>
      </w:r>
      <w:r>
        <w:rPr>
          <w:szCs w:val="20"/>
          <w:lang w:val="en-GB"/>
        </w:rPr>
        <w:fldChar w:fldCharType="separate"/>
      </w:r>
      <w:r>
        <w:rPr>
          <w:szCs w:val="20"/>
          <w:lang w:val="en-GB"/>
        </w:rPr>
        <w:t>13.1</w:t>
      </w:r>
      <w:r>
        <w:rPr>
          <w:szCs w:val="20"/>
          <w:lang w:val="en-GB"/>
        </w:rPr>
        <w:fldChar w:fldCharType="end"/>
      </w:r>
      <w:r>
        <w:rPr>
          <w:szCs w:val="20"/>
          <w:lang w:val="en-GB"/>
        </w:rPr>
        <w:t>, all transportation charges, import and export duties, insurance costs and any other costs and charges on the Goods delivered shall be borne by the Supplier.</w:t>
      </w:r>
    </w:p>
    <w:p>
      <w:pPr>
        <w:pStyle w:val="28"/>
        <w:numPr>
          <w:ilvl w:val="1"/>
          <w:numId w:val="5"/>
        </w:numPr>
        <w:ind w:left="426"/>
        <w:rPr>
          <w:szCs w:val="20"/>
          <w:lang w:val="en-GB"/>
        </w:rPr>
      </w:pPr>
      <w:r>
        <w:rPr>
          <w:szCs w:val="20"/>
          <w:lang w:val="en-GB"/>
        </w:rPr>
        <w:t>The Goods shall be packed in standard packing conditions according to international commercial and industrial practice for international shipment. Without prejudice to foregoing, the Supplier shall apply proper anti-erosion and/or anti-rust compounds or coating, protective waterproof wrapping and/or packing, as the case may be.</w:t>
      </w:r>
    </w:p>
    <w:p>
      <w:pPr>
        <w:pStyle w:val="28"/>
        <w:numPr>
          <w:ilvl w:val="1"/>
          <w:numId w:val="5"/>
        </w:numPr>
        <w:ind w:left="426"/>
        <w:rPr>
          <w:szCs w:val="20"/>
          <w:lang w:val="en-GB"/>
        </w:rPr>
      </w:pPr>
      <w:r>
        <w:rPr>
          <w:szCs w:val="20"/>
          <w:lang w:val="en-GB"/>
        </w:rPr>
        <w:t>Duplicate copies of the invoices and packing lists are to be packed with the Goods, original documents and other documents as required by the Supplier are to be sent separately and as quickly as possible in order to reach the Procuring Entity before the shipment arrives to the destination. The Supplier shall inform the Procuring Entity of shipping details, including bill of lading numbers, and number of packages, and its expected date of departure and arrival by email or facsimile within twenty-four (24) hours after the original shipping date.</w:t>
      </w:r>
    </w:p>
    <w:p>
      <w:pPr>
        <w:pStyle w:val="28"/>
        <w:numPr>
          <w:ilvl w:val="1"/>
          <w:numId w:val="5"/>
        </w:numPr>
        <w:ind w:left="426"/>
        <w:rPr>
          <w:szCs w:val="20"/>
          <w:lang w:val="en-GB"/>
        </w:rPr>
      </w:pPr>
      <w:r>
        <w:rPr>
          <w:szCs w:val="20"/>
          <w:lang w:val="en-GB"/>
        </w:rPr>
        <w:t>Delivery of the Goods shall be made by the Supplier on the Delivery Date or Dates that the Procuring Entities has required in Annex A.</w:t>
      </w:r>
    </w:p>
    <w:p>
      <w:pPr>
        <w:pStyle w:val="28"/>
        <w:numPr>
          <w:ilvl w:val="1"/>
          <w:numId w:val="5"/>
        </w:numPr>
        <w:ind w:left="426"/>
        <w:rPr>
          <w:szCs w:val="20"/>
          <w:lang w:val="en-GB"/>
        </w:rPr>
      </w:pPr>
      <w:r>
        <w:rPr>
          <w:szCs w:val="20"/>
          <w:lang w:val="en-GB"/>
        </w:rPr>
        <w:t xml:space="preserve">If the Supplier or its Subcontractor(s) encounters conditions impeding timely delivery of the Goods, the Supplier shall notify the Procuring Entities in writing and at the soonest opportunity of the fact of the delay, its likely duration and cause(s). The Procuring Entity shall evaluate the situation and advise the Supplier if the Delivery Date or Dates can be extended. </w:t>
      </w:r>
    </w:p>
    <w:p>
      <w:pPr>
        <w:pStyle w:val="28"/>
        <w:numPr>
          <w:ilvl w:val="1"/>
          <w:numId w:val="5"/>
        </w:numPr>
        <w:ind w:left="426"/>
        <w:rPr>
          <w:szCs w:val="20"/>
          <w:lang w:val="en-GB"/>
        </w:rPr>
      </w:pPr>
      <w:r>
        <w:rPr>
          <w:szCs w:val="20"/>
          <w:lang w:val="en-GB"/>
        </w:rPr>
        <w:t>Delay may constitute default that may result in terminating the Contract, forfeiting the Supplier’s Performance Security and/or awarding the Contract to another qualified Supplier.</w:t>
      </w:r>
    </w:p>
    <w:p>
      <w:pPr>
        <w:pStyle w:val="4"/>
        <w:numPr>
          <w:ilvl w:val="0"/>
          <w:numId w:val="5"/>
        </w:numPr>
      </w:pPr>
      <w:bookmarkStart w:id="27" w:name="_Ref18490702"/>
      <w:bookmarkStart w:id="28" w:name="_Toc21076584"/>
      <w:r>
        <w:t>Liquidated damages</w:t>
      </w:r>
      <w:bookmarkEnd w:id="27"/>
      <w:bookmarkEnd w:id="28"/>
      <w:r>
        <w:t xml:space="preserve"> </w:t>
      </w:r>
    </w:p>
    <w:p>
      <w:pPr>
        <w:pStyle w:val="28"/>
        <w:numPr>
          <w:ilvl w:val="1"/>
          <w:numId w:val="5"/>
        </w:numPr>
        <w:ind w:left="426"/>
        <w:rPr>
          <w:szCs w:val="20"/>
          <w:lang w:val="en-GB"/>
        </w:rPr>
      </w:pPr>
      <w:r>
        <w:rPr>
          <w:szCs w:val="20"/>
          <w:lang w:val="en-GB"/>
        </w:rPr>
        <w:t>If the Supplier fails to deliver the Goods on the Delivery Date or Dates, the Procuring Entity may deduct from the Contract Amount, liquidated damages equivalent to 0,5% of the Contract Amount for every week of delay or part thereof until actual delivery or performance. The maximum allowable deduction for such liquidated damages shall be 10% of the Contract Amount.</w:t>
      </w:r>
    </w:p>
    <w:p>
      <w:pPr>
        <w:pStyle w:val="28"/>
        <w:numPr>
          <w:ilvl w:val="1"/>
          <w:numId w:val="5"/>
        </w:numPr>
        <w:ind w:left="426"/>
        <w:rPr>
          <w:szCs w:val="20"/>
          <w:lang w:val="en-GB"/>
        </w:rPr>
      </w:pPr>
      <w:r>
        <w:rPr>
          <w:szCs w:val="20"/>
          <w:lang w:val="en-GB"/>
        </w:rPr>
        <w:t>Liquidated damages shall be imposed without prejudice to other remedies under the Contract and under applicable laws. Once the maximum allowable deduction for liquidated damages provided above is reached, the Procuring Entity may consider terminating the Contract based on the grounds provided in section GCC 16.</w:t>
      </w:r>
    </w:p>
    <w:bookmarkEnd w:id="22"/>
    <w:bookmarkEnd w:id="23"/>
    <w:bookmarkEnd w:id="24"/>
    <w:p>
      <w:pPr>
        <w:pStyle w:val="4"/>
        <w:numPr>
          <w:ilvl w:val="0"/>
          <w:numId w:val="5"/>
        </w:numPr>
      </w:pPr>
      <w:bookmarkStart w:id="29" w:name="_Toc21076585"/>
      <w:bookmarkStart w:id="30" w:name="_Ref11851278"/>
      <w:r>
        <w:t>Expiration of the Contract</w:t>
      </w:r>
      <w:bookmarkEnd w:id="29"/>
      <w:bookmarkEnd w:id="30"/>
    </w:p>
    <w:p>
      <w:pPr>
        <w:pStyle w:val="28"/>
        <w:numPr>
          <w:ilvl w:val="1"/>
          <w:numId w:val="5"/>
        </w:numPr>
        <w:ind w:left="426"/>
        <w:rPr>
          <w:szCs w:val="20"/>
          <w:lang w:val="en-GB"/>
        </w:rPr>
      </w:pPr>
      <w:r>
        <w:rPr>
          <w:szCs w:val="20"/>
          <w:lang w:val="en-GB"/>
        </w:rPr>
        <w:t>The Contract shall terminate at the end of such time period after the Effective Date as specified in the SCC.</w:t>
      </w:r>
    </w:p>
    <w:p>
      <w:pPr>
        <w:pStyle w:val="4"/>
        <w:numPr>
          <w:ilvl w:val="0"/>
          <w:numId w:val="5"/>
        </w:numPr>
      </w:pPr>
      <w:bookmarkStart w:id="31" w:name="_Ref11854724"/>
      <w:bookmarkStart w:id="32" w:name="_Toc21076586"/>
      <w:r>
        <w:t>Force majeure</w:t>
      </w:r>
      <w:bookmarkEnd w:id="31"/>
      <w:bookmarkEnd w:id="32"/>
    </w:p>
    <w:p>
      <w:pPr>
        <w:pStyle w:val="28"/>
        <w:numPr>
          <w:ilvl w:val="1"/>
          <w:numId w:val="5"/>
        </w:numPr>
        <w:ind w:left="426"/>
        <w:rPr>
          <w:szCs w:val="20"/>
          <w:lang w:val="en-GB"/>
        </w:rPr>
      </w:pPr>
      <w:r>
        <w:rPr>
          <w:szCs w:val="20"/>
          <w:lang w:val="en-GB"/>
        </w:rPr>
        <w:t>The failure of a Party to fulfil any of its obligations shall not be considered to be a breach of the Contract insofar as such inability arises from an event of Force Majeure, provided that the Party affected by such an event has taken all reasonable precautions, due care and reasonable alternative measures, all with the objective of carrying out the terms and conditions of the Contract.</w:t>
      </w:r>
    </w:p>
    <w:p>
      <w:pPr>
        <w:pStyle w:val="28"/>
        <w:numPr>
          <w:ilvl w:val="1"/>
          <w:numId w:val="5"/>
        </w:numPr>
        <w:ind w:left="426"/>
        <w:rPr>
          <w:szCs w:val="20"/>
          <w:lang w:val="en-GB"/>
        </w:rPr>
      </w:pPr>
      <w:r>
        <w:rPr>
          <w:szCs w:val="20"/>
          <w:lang w:val="en-GB"/>
        </w:rPr>
        <w:t>A Party affected by an event of Force Majeure shall take all reasonable measures to remove such Party’s inability to fulfil its obligations with a minimum of delay. A Party affected by an event of Force Majeure shall notify the other Party of such event as soon as possible, and in any event not later than ten (10) days following the occurrence of such event, providing evidence of the nature and cause of such event, and shall similarly give notice of the restoration of normal conditions as soon as possible. The Parties shall take all reasonable measures to minimize the consequences of any event of Force Majeure.</w:t>
      </w:r>
    </w:p>
    <w:p>
      <w:pPr>
        <w:pStyle w:val="28"/>
        <w:numPr>
          <w:ilvl w:val="1"/>
          <w:numId w:val="5"/>
        </w:numPr>
        <w:ind w:left="426"/>
        <w:rPr>
          <w:szCs w:val="20"/>
          <w:lang w:val="en-GB"/>
        </w:rPr>
      </w:pPr>
      <w:r>
        <w:rPr>
          <w:szCs w:val="20"/>
          <w:lang w:val="en-GB"/>
        </w:rPr>
        <w:t>Any period within which a Party shall, pursuant to the Contract, complete any action or task, shall be extended for a period equal to the time during which such Party was unable to perform such action as a result of Force Majeure.</w:t>
      </w:r>
    </w:p>
    <w:p>
      <w:pPr>
        <w:pStyle w:val="28"/>
        <w:numPr>
          <w:ilvl w:val="1"/>
          <w:numId w:val="5"/>
        </w:numPr>
        <w:ind w:left="426"/>
        <w:rPr>
          <w:szCs w:val="20"/>
          <w:lang w:val="en-GB"/>
        </w:rPr>
      </w:pPr>
      <w:r>
        <w:rPr>
          <w:szCs w:val="20"/>
          <w:lang w:val="en-GB"/>
        </w:rPr>
        <w:t>Not later than twenty (20) days after the Supplier, as the result of an event of Force Majeure, have become unable to perform a material portion of the Supply of Goods, the Parties shall consult with each other with a view to agreeing on appropriate measures to be taken in the circumstances.</w:t>
      </w:r>
    </w:p>
    <w:p>
      <w:pPr>
        <w:pStyle w:val="4"/>
        <w:numPr>
          <w:ilvl w:val="0"/>
          <w:numId w:val="5"/>
        </w:numPr>
      </w:pPr>
      <w:bookmarkStart w:id="33" w:name="_Ref10711569"/>
      <w:bookmarkStart w:id="34" w:name="_Toc21076587"/>
      <w:r>
        <w:t>Suspension</w:t>
      </w:r>
      <w:bookmarkEnd w:id="33"/>
      <w:bookmarkEnd w:id="34"/>
    </w:p>
    <w:p>
      <w:pPr>
        <w:pStyle w:val="28"/>
        <w:numPr>
          <w:ilvl w:val="1"/>
          <w:numId w:val="5"/>
        </w:numPr>
        <w:ind w:left="426"/>
        <w:rPr>
          <w:szCs w:val="20"/>
          <w:lang w:val="en-GB"/>
        </w:rPr>
      </w:pPr>
      <w:r>
        <w:rPr>
          <w:szCs w:val="20"/>
          <w:lang w:val="en-GB"/>
        </w:rPr>
        <w:t>The Procuring Entity may, by written notice of suspension to the Supplier, suspend all payments to the Supplier if the Supplier fails to perform any of its obligations under the Contract, including the carrying out of the Supply of Goods, provided that such notice of suspension (i) shall specify the nature of the failure, and (ii) shall request the Supplier to remedy such failure within a period not exceeding twenty (20) days after receipt by the Supplier of such notice of suspension.</w:t>
      </w:r>
    </w:p>
    <w:p>
      <w:pPr>
        <w:pStyle w:val="4"/>
        <w:numPr>
          <w:ilvl w:val="0"/>
          <w:numId w:val="5"/>
        </w:numPr>
      </w:pPr>
      <w:bookmarkStart w:id="35" w:name="_Toc21076588"/>
      <w:bookmarkStart w:id="36" w:name="_Ref11851654"/>
      <w:bookmarkStart w:id="37" w:name="_Ref11854955"/>
      <w:bookmarkStart w:id="38" w:name="_Ref11853716"/>
      <w:bookmarkStart w:id="39" w:name="_Ref11851231"/>
      <w:r>
        <w:t>Termination by the Procuring Entity</w:t>
      </w:r>
      <w:bookmarkEnd w:id="35"/>
      <w:bookmarkEnd w:id="36"/>
      <w:bookmarkEnd w:id="37"/>
      <w:bookmarkEnd w:id="38"/>
      <w:bookmarkEnd w:id="39"/>
    </w:p>
    <w:p>
      <w:pPr>
        <w:pStyle w:val="28"/>
        <w:numPr>
          <w:ilvl w:val="1"/>
          <w:numId w:val="5"/>
        </w:numPr>
        <w:ind w:left="426"/>
        <w:rPr>
          <w:szCs w:val="20"/>
          <w:lang w:val="en-GB"/>
        </w:rPr>
      </w:pPr>
      <w:bookmarkStart w:id="40" w:name="_Ref11851606"/>
      <w:r>
        <w:rPr>
          <w:szCs w:val="20"/>
          <w:lang w:val="en-GB"/>
        </w:rPr>
        <w:t>The Procuring Entity may terminate the Contract by providing the Supplier with written notice, which shall not be shorter than twenty (20) days, in the following cases.</w:t>
      </w:r>
      <w:bookmarkEnd w:id="40"/>
    </w:p>
    <w:p>
      <w:pPr>
        <w:pStyle w:val="28"/>
        <w:numPr>
          <w:ilvl w:val="0"/>
          <w:numId w:val="7"/>
        </w:numPr>
        <w:rPr>
          <w:szCs w:val="20"/>
          <w:lang w:val="en-GB"/>
        </w:rPr>
      </w:pPr>
      <w:r>
        <w:rPr>
          <w:szCs w:val="20"/>
          <w:lang w:val="en-GB"/>
        </w:rPr>
        <w:t xml:space="preserve">if the Supplier fails to remedy a failure in the performance of its obligations, as specified in a notice of suspension pursuant to section CGG </w:t>
      </w:r>
      <w:r>
        <w:rPr>
          <w:szCs w:val="20"/>
          <w:lang w:val="en-GB"/>
        </w:rPr>
        <w:fldChar w:fldCharType="begin"/>
      </w:r>
      <w:r>
        <w:rPr>
          <w:szCs w:val="20"/>
          <w:lang w:val="en-GB"/>
        </w:rPr>
        <w:instrText xml:space="preserve"> REF _Ref10711569 \r \h  \* MERGEFORMAT </w:instrText>
      </w:r>
      <w:r>
        <w:rPr>
          <w:szCs w:val="20"/>
          <w:lang w:val="en-GB"/>
        </w:rPr>
        <w:fldChar w:fldCharType="separate"/>
      </w:r>
      <w:r>
        <w:rPr>
          <w:szCs w:val="20"/>
          <w:lang w:val="en-GB"/>
        </w:rPr>
        <w:t>17</w:t>
      </w:r>
      <w:r>
        <w:rPr>
          <w:szCs w:val="20"/>
          <w:lang w:val="en-GB"/>
        </w:rPr>
        <w:fldChar w:fldCharType="end"/>
      </w:r>
      <w:r>
        <w:rPr>
          <w:szCs w:val="20"/>
          <w:lang w:val="en-GB"/>
        </w:rPr>
        <w:t xml:space="preserve"> above, within twenty (20) days from the notification of such notice or within such further period as the Procuring Entity may have subsequently approved in writing;</w:t>
      </w:r>
    </w:p>
    <w:p>
      <w:pPr>
        <w:pStyle w:val="28"/>
        <w:numPr>
          <w:ilvl w:val="0"/>
          <w:numId w:val="7"/>
        </w:numPr>
        <w:rPr>
          <w:szCs w:val="20"/>
          <w:lang w:val="en-GB"/>
        </w:rPr>
      </w:pPr>
      <w:bookmarkStart w:id="41" w:name="_Hlk12288046"/>
      <w:r>
        <w:rPr>
          <w:szCs w:val="20"/>
          <w:lang w:val="en-GB"/>
        </w:rPr>
        <w:t xml:space="preserve">if the Supplier fails to comply with any final decision reached as a result of amicable settlement proceedings pursuant to section GCC </w:t>
      </w:r>
      <w:r>
        <w:rPr>
          <w:szCs w:val="20"/>
          <w:lang w:val="en-GB"/>
        </w:rPr>
        <w:fldChar w:fldCharType="begin"/>
      </w:r>
      <w:r>
        <w:rPr>
          <w:szCs w:val="20"/>
          <w:lang w:val="en-GB"/>
        </w:rPr>
        <w:instrText xml:space="preserve"> REF _Ref11851059 \r \h  \* MERGEFORMAT </w:instrText>
      </w:r>
      <w:r>
        <w:rPr>
          <w:szCs w:val="20"/>
          <w:lang w:val="en-GB"/>
        </w:rPr>
        <w:fldChar w:fldCharType="separate"/>
      </w:r>
      <w:r>
        <w:rPr>
          <w:szCs w:val="20"/>
          <w:lang w:val="en-GB"/>
        </w:rPr>
        <w:t>44</w:t>
      </w:r>
      <w:r>
        <w:rPr>
          <w:szCs w:val="20"/>
          <w:lang w:val="en-GB"/>
        </w:rPr>
        <w:fldChar w:fldCharType="end"/>
      </w:r>
      <w:bookmarkEnd w:id="41"/>
      <w:r>
        <w:rPr>
          <w:szCs w:val="20"/>
          <w:lang w:val="en-GB"/>
        </w:rPr>
        <w:t>;</w:t>
      </w:r>
    </w:p>
    <w:p>
      <w:pPr>
        <w:pStyle w:val="28"/>
        <w:numPr>
          <w:ilvl w:val="0"/>
          <w:numId w:val="7"/>
        </w:numPr>
        <w:rPr>
          <w:szCs w:val="20"/>
          <w:lang w:val="en-GB"/>
        </w:rPr>
      </w:pPr>
      <w:r>
        <w:rPr>
          <w:szCs w:val="20"/>
          <w:lang w:val="en-GB"/>
        </w:rPr>
        <w:t>if the Supplier submits to the Procuring Entity a statement which has a material effect on the rights, obligations or interests of the Procuring Entity and which the Supplier knows to be false;</w:t>
      </w:r>
    </w:p>
    <w:p>
      <w:pPr>
        <w:pStyle w:val="28"/>
        <w:numPr>
          <w:ilvl w:val="0"/>
          <w:numId w:val="7"/>
        </w:numPr>
        <w:rPr>
          <w:szCs w:val="20"/>
          <w:lang w:val="en-GB"/>
        </w:rPr>
      </w:pPr>
      <w:r>
        <w:rPr>
          <w:szCs w:val="20"/>
          <w:lang w:val="en-GB"/>
        </w:rPr>
        <w:t>if, as the result of Force Majeure, the Supplier is unable to perform a material portion of the Supply of Goods for a period of not less than sixty (60) days; or</w:t>
      </w:r>
    </w:p>
    <w:p>
      <w:pPr>
        <w:pStyle w:val="28"/>
        <w:numPr>
          <w:ilvl w:val="0"/>
          <w:numId w:val="7"/>
        </w:numPr>
        <w:spacing w:before="240"/>
        <w:rPr>
          <w:szCs w:val="20"/>
          <w:lang w:val="en-GB"/>
        </w:rPr>
      </w:pPr>
      <w:r>
        <w:rPr>
          <w:szCs w:val="20"/>
          <w:lang w:val="en-GB"/>
        </w:rPr>
        <w:t>if the Procuring Entity, in its sole discretion and for any reason whatsoever, decides to terminate the Contract.</w:t>
      </w:r>
    </w:p>
    <w:p>
      <w:pPr>
        <w:pStyle w:val="4"/>
        <w:numPr>
          <w:ilvl w:val="0"/>
          <w:numId w:val="5"/>
        </w:numPr>
      </w:pPr>
      <w:bookmarkStart w:id="42" w:name="_Toc21076589"/>
      <w:bookmarkStart w:id="43" w:name="_Ref11851244"/>
      <w:bookmarkStart w:id="44" w:name="_Ref11851666"/>
      <w:bookmarkStart w:id="45" w:name="_Ref11853726"/>
      <w:r>
        <w:t>Termination by the Supplier</w:t>
      </w:r>
      <w:bookmarkEnd w:id="42"/>
      <w:bookmarkEnd w:id="43"/>
      <w:bookmarkEnd w:id="44"/>
      <w:bookmarkEnd w:id="45"/>
    </w:p>
    <w:p>
      <w:pPr>
        <w:pStyle w:val="28"/>
        <w:numPr>
          <w:ilvl w:val="1"/>
          <w:numId w:val="5"/>
        </w:numPr>
        <w:ind w:left="426"/>
        <w:rPr>
          <w:szCs w:val="20"/>
          <w:lang w:val="en-GB"/>
        </w:rPr>
      </w:pPr>
      <w:r>
        <w:rPr>
          <w:szCs w:val="20"/>
          <w:lang w:val="en-GB"/>
        </w:rPr>
        <w:t>The Supplier may terminate the Contract by providing the Procuring Entity with written notice, which shall not be shorter than twenty (20) days, in the following cases:</w:t>
      </w:r>
    </w:p>
    <w:p>
      <w:pPr>
        <w:pStyle w:val="28"/>
        <w:numPr>
          <w:ilvl w:val="0"/>
          <w:numId w:val="8"/>
        </w:numPr>
        <w:spacing w:before="240"/>
        <w:rPr>
          <w:szCs w:val="20"/>
          <w:lang w:val="en-GB"/>
        </w:rPr>
      </w:pPr>
      <w:r>
        <w:rPr>
          <w:szCs w:val="20"/>
          <w:lang w:val="en-GB"/>
        </w:rPr>
        <w:t xml:space="preserve">if the Procuring Entity fails to pay any money due to the Supplier pursuant to the Contract and not subject to dispute pursuant to section </w:t>
      </w:r>
      <w:commentRangeStart w:id="0"/>
      <w:r>
        <w:rPr>
          <w:szCs w:val="20"/>
          <w:lang w:val="en-GB"/>
        </w:rPr>
        <w:t xml:space="preserve">GCC </w:t>
      </w:r>
      <w:r>
        <w:rPr>
          <w:szCs w:val="20"/>
          <w:lang w:val="en-GB"/>
        </w:rPr>
        <w:fldChar w:fldCharType="begin"/>
      </w:r>
      <w:r>
        <w:rPr>
          <w:szCs w:val="20"/>
          <w:lang w:val="en-GB"/>
        </w:rPr>
        <w:instrText xml:space="preserve"> REF _Ref11851205 \r \h  \* MERGEFORMAT </w:instrText>
      </w:r>
      <w:r>
        <w:rPr>
          <w:szCs w:val="20"/>
          <w:lang w:val="en-GB"/>
        </w:rPr>
        <w:fldChar w:fldCharType="separate"/>
      </w:r>
      <w:r>
        <w:rPr>
          <w:szCs w:val="20"/>
          <w:lang w:val="en-GB"/>
        </w:rPr>
        <w:t>8</w:t>
      </w:r>
      <w:r>
        <w:rPr>
          <w:szCs w:val="20"/>
          <w:lang w:val="en-GB"/>
        </w:rPr>
        <w:fldChar w:fldCharType="end"/>
      </w:r>
      <w:commentRangeEnd w:id="0"/>
      <w:r>
        <w:rPr>
          <w:rStyle w:val="13"/>
        </w:rPr>
        <w:commentReference w:id="0"/>
      </w:r>
      <w:r>
        <w:rPr>
          <w:szCs w:val="20"/>
          <w:lang w:val="en-GB"/>
        </w:rPr>
        <w:t xml:space="preserve"> within thirty (30) days after receiving written notice from the Supplier that such payment is overdue;</w:t>
      </w:r>
    </w:p>
    <w:p>
      <w:pPr>
        <w:pStyle w:val="28"/>
        <w:numPr>
          <w:ilvl w:val="0"/>
          <w:numId w:val="8"/>
        </w:numPr>
        <w:spacing w:before="240"/>
        <w:rPr>
          <w:szCs w:val="20"/>
          <w:lang w:val="en-GB"/>
        </w:rPr>
      </w:pPr>
      <w:r>
        <w:rPr>
          <w:szCs w:val="20"/>
          <w:lang w:val="en-GB"/>
        </w:rPr>
        <w:t>if the Procuring Entity is in material breach of its obligations pursuant to the Contract and has not remedied the same within thirty (30) days (or such longer period as the Supplier may have subsequently approved in writing) following the receipt by the Procuring Entity of the Supplier’s notice specifying such breach;</w:t>
      </w:r>
    </w:p>
    <w:p>
      <w:pPr>
        <w:pStyle w:val="28"/>
        <w:numPr>
          <w:ilvl w:val="0"/>
          <w:numId w:val="8"/>
        </w:numPr>
        <w:spacing w:before="240"/>
        <w:rPr>
          <w:szCs w:val="20"/>
          <w:lang w:val="en-GB"/>
        </w:rPr>
      </w:pPr>
      <w:r>
        <w:rPr>
          <w:szCs w:val="20"/>
          <w:lang w:val="en-GB"/>
        </w:rPr>
        <w:t>if, as the result of Force Majeure, the Supplier is unable to perform a material portion of the Supply of Goods for a period of not less than sixty (60) days; or</w:t>
      </w:r>
    </w:p>
    <w:p>
      <w:pPr>
        <w:pStyle w:val="28"/>
        <w:numPr>
          <w:ilvl w:val="0"/>
          <w:numId w:val="8"/>
        </w:numPr>
        <w:spacing w:before="240"/>
        <w:rPr>
          <w:szCs w:val="20"/>
          <w:lang w:val="en-GB"/>
        </w:rPr>
      </w:pPr>
      <w:bookmarkStart w:id="46" w:name="_Hlk12288106"/>
      <w:r>
        <w:rPr>
          <w:szCs w:val="20"/>
          <w:lang w:val="en-GB"/>
        </w:rPr>
        <w:t xml:space="preserve">if the Procuring Entity fails to comply with any final decision reached as a result of amicable settlement pursuant to section GCC </w:t>
      </w:r>
      <w:r>
        <w:rPr>
          <w:szCs w:val="20"/>
          <w:highlight w:val="yellow"/>
          <w:lang w:val="en-GB"/>
        </w:rPr>
        <w:fldChar w:fldCharType="begin"/>
      </w:r>
      <w:r>
        <w:rPr>
          <w:szCs w:val="20"/>
          <w:lang w:val="en-GB"/>
        </w:rPr>
        <w:instrText xml:space="preserve"> REF _Ref11851179 \r \h </w:instrText>
      </w:r>
      <w:r>
        <w:rPr>
          <w:szCs w:val="20"/>
          <w:highlight w:val="yellow"/>
          <w:lang w:val="en-GB"/>
        </w:rPr>
        <w:instrText xml:space="preserve"> \* MERGEFORMAT </w:instrText>
      </w:r>
      <w:r>
        <w:rPr>
          <w:szCs w:val="20"/>
          <w:highlight w:val="yellow"/>
          <w:lang w:val="en-GB"/>
        </w:rPr>
        <w:fldChar w:fldCharType="separate"/>
      </w:r>
      <w:r>
        <w:rPr>
          <w:szCs w:val="20"/>
          <w:lang w:val="en-GB"/>
        </w:rPr>
        <w:t>44</w:t>
      </w:r>
      <w:r>
        <w:rPr>
          <w:szCs w:val="20"/>
          <w:highlight w:val="yellow"/>
          <w:lang w:val="en-GB"/>
        </w:rPr>
        <w:fldChar w:fldCharType="end"/>
      </w:r>
      <w:bookmarkEnd w:id="46"/>
      <w:r>
        <w:rPr>
          <w:szCs w:val="20"/>
          <w:lang w:val="en-GB"/>
        </w:rPr>
        <w:t>.</w:t>
      </w:r>
    </w:p>
    <w:p>
      <w:pPr>
        <w:pStyle w:val="28"/>
        <w:numPr>
          <w:ilvl w:val="1"/>
          <w:numId w:val="5"/>
        </w:numPr>
        <w:ind w:left="426"/>
        <w:rPr>
          <w:szCs w:val="20"/>
          <w:lang w:val="en-GB"/>
        </w:rPr>
      </w:pPr>
      <w:bookmarkStart w:id="47" w:name="_Hlk12288143"/>
      <w:r>
        <w:rPr>
          <w:szCs w:val="20"/>
          <w:lang w:val="en-GB"/>
        </w:rPr>
        <w:t xml:space="preserve">Upon termination of the Contract pursuant to sections GCC </w:t>
      </w:r>
      <w:r>
        <w:rPr>
          <w:szCs w:val="20"/>
          <w:lang w:val="en-GB"/>
        </w:rPr>
        <w:fldChar w:fldCharType="begin"/>
      </w:r>
      <w:r>
        <w:rPr>
          <w:szCs w:val="20"/>
          <w:lang w:val="en-GB"/>
        </w:rPr>
        <w:instrText xml:space="preserve"> REF _Ref11851231 \r \h  \* MERGEFORMAT </w:instrText>
      </w:r>
      <w:r>
        <w:rPr>
          <w:szCs w:val="20"/>
          <w:lang w:val="en-GB"/>
        </w:rPr>
        <w:fldChar w:fldCharType="separate"/>
      </w:r>
      <w:r>
        <w:rPr>
          <w:szCs w:val="20"/>
          <w:lang w:val="en-GB"/>
        </w:rPr>
        <w:t>18</w:t>
      </w:r>
      <w:r>
        <w:rPr>
          <w:szCs w:val="20"/>
          <w:lang w:val="en-GB"/>
        </w:rPr>
        <w:fldChar w:fldCharType="end"/>
      </w:r>
      <w:r>
        <w:rPr>
          <w:szCs w:val="20"/>
          <w:lang w:val="en-GB"/>
        </w:rPr>
        <w:t xml:space="preserve"> or GCC </w:t>
      </w:r>
      <w:r>
        <w:rPr>
          <w:szCs w:val="20"/>
          <w:lang w:val="en-GB"/>
        </w:rPr>
        <w:fldChar w:fldCharType="begin"/>
      </w:r>
      <w:r>
        <w:rPr>
          <w:szCs w:val="20"/>
          <w:lang w:val="en-GB"/>
        </w:rPr>
        <w:instrText xml:space="preserve"> REF _Ref11851244 \r \h  \* MERGEFORMAT </w:instrText>
      </w:r>
      <w:r>
        <w:rPr>
          <w:szCs w:val="20"/>
          <w:lang w:val="en-GB"/>
        </w:rPr>
        <w:fldChar w:fldCharType="separate"/>
      </w:r>
      <w:r>
        <w:rPr>
          <w:szCs w:val="20"/>
          <w:lang w:val="en-GB"/>
        </w:rPr>
        <w:t>19</w:t>
      </w:r>
      <w:r>
        <w:rPr>
          <w:szCs w:val="20"/>
          <w:lang w:val="en-GB"/>
        </w:rPr>
        <w:fldChar w:fldCharType="end"/>
      </w:r>
      <w:r>
        <w:rPr>
          <w:szCs w:val="20"/>
          <w:lang w:val="en-GB"/>
        </w:rPr>
        <w:t xml:space="preserve">, or upon expiration of the Contract pursuant to section GCC </w:t>
      </w:r>
      <w:r>
        <w:rPr>
          <w:szCs w:val="20"/>
          <w:lang w:val="en-GB"/>
        </w:rPr>
        <w:fldChar w:fldCharType="begin"/>
      </w:r>
      <w:r>
        <w:rPr>
          <w:szCs w:val="20"/>
          <w:lang w:val="en-GB"/>
        </w:rPr>
        <w:instrText xml:space="preserve"> REF _Ref11851278 \r \h  \* MERGEFORMAT </w:instrText>
      </w:r>
      <w:r>
        <w:rPr>
          <w:szCs w:val="20"/>
          <w:lang w:val="en-GB"/>
        </w:rPr>
        <w:fldChar w:fldCharType="separate"/>
      </w:r>
      <w:r>
        <w:rPr>
          <w:szCs w:val="20"/>
          <w:lang w:val="en-GB"/>
        </w:rPr>
        <w:t>15</w:t>
      </w:r>
      <w:r>
        <w:rPr>
          <w:szCs w:val="20"/>
          <w:lang w:val="en-GB"/>
        </w:rPr>
        <w:fldChar w:fldCharType="end"/>
      </w:r>
      <w:r>
        <w:rPr>
          <w:szCs w:val="20"/>
          <w:lang w:val="en-GB"/>
        </w:rPr>
        <w:t xml:space="preserve">, all rights and obligations of the Parties shall cease, except (i) such rights and obligations as may have accrued on the date of termination or expiration, (ii) the obligation of confidentiality set forth in section GCC </w:t>
      </w:r>
      <w:r>
        <w:rPr>
          <w:szCs w:val="20"/>
          <w:lang w:val="en-GB"/>
        </w:rPr>
        <w:fldChar w:fldCharType="begin"/>
      </w:r>
      <w:r>
        <w:rPr>
          <w:szCs w:val="20"/>
          <w:lang w:val="en-GB"/>
        </w:rPr>
        <w:instrText xml:space="preserve"> REF _Ref11851308 \r \h  \* MERGEFORMAT </w:instrText>
      </w:r>
      <w:r>
        <w:rPr>
          <w:szCs w:val="20"/>
          <w:lang w:val="en-GB"/>
        </w:rPr>
        <w:fldChar w:fldCharType="separate"/>
      </w:r>
      <w:r>
        <w:rPr>
          <w:szCs w:val="20"/>
          <w:lang w:val="en-GB"/>
        </w:rPr>
        <w:t>23</w:t>
      </w:r>
      <w:r>
        <w:rPr>
          <w:szCs w:val="20"/>
          <w:lang w:val="en-GB"/>
        </w:rPr>
        <w:fldChar w:fldCharType="end"/>
      </w:r>
      <w:r>
        <w:rPr>
          <w:szCs w:val="20"/>
          <w:lang w:val="en-GB"/>
        </w:rPr>
        <w:t xml:space="preserve">, (iii) the Supplier’s obligation to permit inspection, copying and auditing of its accounts and records set forth in section GCC </w:t>
      </w:r>
      <w:r>
        <w:rPr>
          <w:szCs w:val="20"/>
          <w:lang w:val="en-GB"/>
        </w:rPr>
        <w:fldChar w:fldCharType="begin"/>
      </w:r>
      <w:r>
        <w:rPr>
          <w:szCs w:val="20"/>
          <w:lang w:val="en-GB"/>
        </w:rPr>
        <w:instrText xml:space="preserve"> REF _Ref11788278 \r \h </w:instrText>
      </w:r>
      <w:r>
        <w:rPr>
          <w:szCs w:val="20"/>
          <w:lang w:val="en-GB"/>
        </w:rPr>
        <w:fldChar w:fldCharType="separate"/>
      </w:r>
      <w:r>
        <w:rPr>
          <w:szCs w:val="20"/>
          <w:lang w:val="en-GB"/>
        </w:rPr>
        <w:t>24</w:t>
      </w:r>
      <w:r>
        <w:rPr>
          <w:szCs w:val="20"/>
          <w:lang w:val="en-GB"/>
        </w:rPr>
        <w:fldChar w:fldCharType="end"/>
      </w:r>
      <w:r>
        <w:rPr>
          <w:szCs w:val="20"/>
          <w:lang w:val="en-GB"/>
        </w:rPr>
        <w:t>, and (iv) any right which a Party may have under Applicable Laws.</w:t>
      </w:r>
    </w:p>
    <w:p>
      <w:pPr>
        <w:pStyle w:val="28"/>
        <w:numPr>
          <w:ilvl w:val="1"/>
          <w:numId w:val="5"/>
        </w:numPr>
        <w:ind w:left="426"/>
        <w:rPr>
          <w:szCs w:val="20"/>
          <w:lang w:val="en-GB"/>
        </w:rPr>
      </w:pPr>
      <w:r>
        <w:rPr>
          <w:szCs w:val="20"/>
          <w:lang w:val="en-GB"/>
        </w:rPr>
        <w:t xml:space="preserve">Upon termination of the Contract by notice of either Party to the other pursuant to sections GCC </w:t>
      </w:r>
      <w:r>
        <w:rPr>
          <w:szCs w:val="20"/>
          <w:lang w:val="en-GB"/>
        </w:rPr>
        <w:fldChar w:fldCharType="begin"/>
      </w:r>
      <w:r>
        <w:rPr>
          <w:szCs w:val="20"/>
          <w:lang w:val="en-GB"/>
        </w:rPr>
        <w:instrText xml:space="preserve"> REF _Ref11851231 \r \h  \* MERGEFORMAT </w:instrText>
      </w:r>
      <w:r>
        <w:rPr>
          <w:szCs w:val="20"/>
          <w:lang w:val="en-GB"/>
        </w:rPr>
        <w:fldChar w:fldCharType="separate"/>
      </w:r>
      <w:r>
        <w:rPr>
          <w:szCs w:val="20"/>
          <w:lang w:val="en-GB"/>
        </w:rPr>
        <w:t>18</w:t>
      </w:r>
      <w:r>
        <w:rPr>
          <w:szCs w:val="20"/>
          <w:lang w:val="en-GB"/>
        </w:rPr>
        <w:fldChar w:fldCharType="end"/>
      </w:r>
      <w:r>
        <w:rPr>
          <w:szCs w:val="20"/>
          <w:lang w:val="en-GB"/>
        </w:rPr>
        <w:t xml:space="preserve"> or GCC </w:t>
      </w:r>
      <w:r>
        <w:rPr>
          <w:szCs w:val="20"/>
          <w:lang w:val="en-GB"/>
        </w:rPr>
        <w:fldChar w:fldCharType="begin"/>
      </w:r>
      <w:r>
        <w:rPr>
          <w:szCs w:val="20"/>
          <w:lang w:val="en-GB"/>
        </w:rPr>
        <w:instrText xml:space="preserve"> REF _Ref11851244 \r \h  \* MERGEFORMAT </w:instrText>
      </w:r>
      <w:r>
        <w:rPr>
          <w:szCs w:val="20"/>
          <w:lang w:val="en-GB"/>
        </w:rPr>
        <w:fldChar w:fldCharType="separate"/>
      </w:r>
      <w:r>
        <w:rPr>
          <w:szCs w:val="20"/>
          <w:lang w:val="en-GB"/>
        </w:rPr>
        <w:t>19</w:t>
      </w:r>
      <w:r>
        <w:rPr>
          <w:szCs w:val="20"/>
          <w:lang w:val="en-GB"/>
        </w:rPr>
        <w:fldChar w:fldCharType="end"/>
      </w:r>
      <w:r>
        <w:rPr>
          <w:szCs w:val="20"/>
          <w:lang w:val="en-GB"/>
        </w:rPr>
        <w:t xml:space="preserve">, the Supplier shall, immediately upon dispatch or receipt of such notice, take all necessary steps to bring the Supply of Goods to an end in a prompt and orderly manner and shall make every reasonable effort to keep expenditures for this purpose to a minimum. With respect to documents prepared by the Supplier and equipment and materials furnished by the Procuring Entity, the Supplier shall proceed as provided, respectively, by sections GCC </w:t>
      </w:r>
      <w:r>
        <w:rPr>
          <w:szCs w:val="20"/>
          <w:lang w:val="en-GB"/>
        </w:rPr>
        <w:fldChar w:fldCharType="begin"/>
      </w:r>
      <w:r>
        <w:rPr>
          <w:szCs w:val="20"/>
          <w:lang w:val="en-GB"/>
        </w:rPr>
        <w:instrText xml:space="preserve"> REF _Ref11851432 \r \h  \* MERGEFORMAT </w:instrText>
      </w:r>
      <w:r>
        <w:rPr>
          <w:szCs w:val="20"/>
          <w:lang w:val="en-GB"/>
        </w:rPr>
        <w:fldChar w:fldCharType="separate"/>
      </w:r>
      <w:r>
        <w:rPr>
          <w:szCs w:val="20"/>
          <w:lang w:val="en-GB"/>
        </w:rPr>
        <w:t>26</w:t>
      </w:r>
      <w:r>
        <w:rPr>
          <w:szCs w:val="20"/>
          <w:lang w:val="en-GB"/>
        </w:rPr>
        <w:fldChar w:fldCharType="end"/>
      </w:r>
      <w:r>
        <w:rPr>
          <w:szCs w:val="20"/>
          <w:lang w:val="en-GB"/>
        </w:rPr>
        <w:t xml:space="preserve"> or GCC </w:t>
      </w:r>
      <w:r>
        <w:rPr>
          <w:szCs w:val="20"/>
          <w:lang w:val="en-GB"/>
        </w:rPr>
        <w:fldChar w:fldCharType="begin"/>
      </w:r>
      <w:r>
        <w:rPr>
          <w:szCs w:val="20"/>
          <w:lang w:val="en-GB"/>
        </w:rPr>
        <w:instrText xml:space="preserve"> REF _Ref11851465 \r \h  \* MERGEFORMAT </w:instrText>
      </w:r>
      <w:r>
        <w:rPr>
          <w:szCs w:val="20"/>
          <w:lang w:val="en-GB"/>
        </w:rPr>
        <w:fldChar w:fldCharType="separate"/>
      </w:r>
      <w:r>
        <w:rPr>
          <w:szCs w:val="20"/>
          <w:lang w:val="en-GB"/>
        </w:rPr>
        <w:t>33</w:t>
      </w:r>
      <w:r>
        <w:rPr>
          <w:szCs w:val="20"/>
          <w:lang w:val="en-GB"/>
        </w:rPr>
        <w:fldChar w:fldCharType="end"/>
      </w:r>
      <w:r>
        <w:rPr>
          <w:szCs w:val="20"/>
          <w:lang w:val="en-GB"/>
        </w:rPr>
        <w:t>.</w:t>
      </w:r>
    </w:p>
    <w:bookmarkEnd w:id="47"/>
    <w:p>
      <w:pPr>
        <w:pStyle w:val="28"/>
        <w:numPr>
          <w:ilvl w:val="1"/>
          <w:numId w:val="5"/>
        </w:numPr>
        <w:ind w:left="426"/>
        <w:rPr>
          <w:szCs w:val="20"/>
          <w:lang w:val="en-GB"/>
        </w:rPr>
      </w:pPr>
      <w:r>
        <w:rPr>
          <w:szCs w:val="20"/>
          <w:lang w:val="en-GB"/>
        </w:rPr>
        <w:t xml:space="preserve">Upon termination of the Contract pursuant to sections </w:t>
      </w:r>
      <w:bookmarkStart w:id="48" w:name="_Hlk12288233"/>
      <w:r>
        <w:rPr>
          <w:szCs w:val="20"/>
          <w:lang w:val="en-GB"/>
        </w:rPr>
        <w:t xml:space="preserve">GCC </w:t>
      </w:r>
      <w:r>
        <w:rPr>
          <w:szCs w:val="20"/>
          <w:lang w:val="en-GB"/>
        </w:rPr>
        <w:fldChar w:fldCharType="begin"/>
      </w:r>
      <w:r>
        <w:rPr>
          <w:szCs w:val="20"/>
          <w:lang w:val="en-GB"/>
        </w:rPr>
        <w:instrText xml:space="preserve"> REF _Ref11851231 \r \h  \* MERGEFORMAT </w:instrText>
      </w:r>
      <w:r>
        <w:rPr>
          <w:szCs w:val="20"/>
          <w:lang w:val="en-GB"/>
        </w:rPr>
        <w:fldChar w:fldCharType="separate"/>
      </w:r>
      <w:r>
        <w:rPr>
          <w:szCs w:val="20"/>
          <w:lang w:val="en-GB"/>
        </w:rPr>
        <w:t>18</w:t>
      </w:r>
      <w:r>
        <w:rPr>
          <w:szCs w:val="20"/>
          <w:lang w:val="en-GB"/>
        </w:rPr>
        <w:fldChar w:fldCharType="end"/>
      </w:r>
      <w:r>
        <w:rPr>
          <w:szCs w:val="20"/>
          <w:lang w:val="en-GB"/>
        </w:rPr>
        <w:t xml:space="preserve"> or GCC </w:t>
      </w:r>
      <w:r>
        <w:rPr>
          <w:szCs w:val="20"/>
          <w:lang w:val="en-GB"/>
        </w:rPr>
        <w:fldChar w:fldCharType="begin"/>
      </w:r>
      <w:r>
        <w:rPr>
          <w:szCs w:val="20"/>
          <w:lang w:val="en-GB"/>
        </w:rPr>
        <w:instrText xml:space="preserve"> REF _Ref11851244 \r \h  \* MERGEFORMAT </w:instrText>
      </w:r>
      <w:r>
        <w:rPr>
          <w:szCs w:val="20"/>
          <w:lang w:val="en-GB"/>
        </w:rPr>
        <w:fldChar w:fldCharType="separate"/>
      </w:r>
      <w:r>
        <w:rPr>
          <w:szCs w:val="20"/>
          <w:lang w:val="en-GB"/>
        </w:rPr>
        <w:t>19</w:t>
      </w:r>
      <w:r>
        <w:rPr>
          <w:szCs w:val="20"/>
          <w:lang w:val="en-GB"/>
        </w:rPr>
        <w:fldChar w:fldCharType="end"/>
      </w:r>
      <w:bookmarkEnd w:id="48"/>
      <w:r>
        <w:rPr>
          <w:szCs w:val="20"/>
          <w:lang w:val="en-GB"/>
        </w:rPr>
        <w:t>, the Procuring Entity shall make the following payments to the Supplier:</w:t>
      </w:r>
    </w:p>
    <w:p>
      <w:pPr>
        <w:pStyle w:val="28"/>
        <w:numPr>
          <w:ilvl w:val="0"/>
          <w:numId w:val="9"/>
        </w:numPr>
        <w:spacing w:before="240"/>
        <w:rPr>
          <w:szCs w:val="20"/>
          <w:lang w:val="en-GB"/>
        </w:rPr>
      </w:pPr>
      <w:r>
        <w:rPr>
          <w:szCs w:val="20"/>
          <w:lang w:val="en-GB"/>
        </w:rPr>
        <w:t xml:space="preserve">remuneration pursuant to </w:t>
      </w:r>
      <w:bookmarkStart w:id="49" w:name="_Hlk12288256"/>
      <w:r>
        <w:rPr>
          <w:szCs w:val="20"/>
          <w:lang w:val="en-GB"/>
        </w:rPr>
        <w:t xml:space="preserve">section GCC </w:t>
      </w:r>
      <w:r>
        <w:rPr>
          <w:szCs w:val="20"/>
          <w:lang w:val="en-GB"/>
        </w:rPr>
        <w:fldChar w:fldCharType="begin"/>
      </w:r>
      <w:r>
        <w:rPr>
          <w:szCs w:val="20"/>
          <w:lang w:val="en-GB"/>
        </w:rPr>
        <w:instrText xml:space="preserve"> REF _Ref11851540 \r \h  \* MERGEFORMAT </w:instrText>
      </w:r>
      <w:r>
        <w:rPr>
          <w:szCs w:val="20"/>
          <w:lang w:val="en-GB"/>
        </w:rPr>
        <w:fldChar w:fldCharType="separate"/>
      </w:r>
      <w:r>
        <w:rPr>
          <w:szCs w:val="20"/>
          <w:lang w:val="en-GB"/>
        </w:rPr>
        <w:t>37</w:t>
      </w:r>
      <w:r>
        <w:rPr>
          <w:szCs w:val="20"/>
          <w:lang w:val="en-GB"/>
        </w:rPr>
        <w:fldChar w:fldCharType="end"/>
      </w:r>
      <w:r>
        <w:rPr>
          <w:szCs w:val="20"/>
          <w:lang w:val="en-GB"/>
        </w:rPr>
        <w:t xml:space="preserve"> for </w:t>
      </w:r>
      <w:bookmarkEnd w:id="49"/>
      <w:r>
        <w:rPr>
          <w:szCs w:val="20"/>
          <w:lang w:val="en-GB"/>
        </w:rPr>
        <w:t>Supply of Goods satisfactorily delivered prior to the effective date of termination;</w:t>
      </w:r>
    </w:p>
    <w:p>
      <w:pPr>
        <w:pStyle w:val="28"/>
        <w:numPr>
          <w:ilvl w:val="1"/>
          <w:numId w:val="5"/>
        </w:numPr>
        <w:ind w:left="426"/>
        <w:rPr>
          <w:szCs w:val="20"/>
          <w:lang w:val="en-GB"/>
        </w:rPr>
      </w:pPr>
      <w:r>
        <w:rPr>
          <w:szCs w:val="20"/>
          <w:lang w:val="en-GB"/>
        </w:rPr>
        <w:t xml:space="preserve">If </w:t>
      </w:r>
      <w:bookmarkStart w:id="50" w:name="_Hlk12288319"/>
      <w:r>
        <w:rPr>
          <w:szCs w:val="20"/>
          <w:lang w:val="en-GB"/>
        </w:rPr>
        <w:t xml:space="preserve">either Party disputes whether an event specified in paragraphs (a) through (e) of section GCC </w:t>
      </w:r>
      <w:r>
        <w:rPr>
          <w:szCs w:val="20"/>
          <w:lang w:val="en-GB"/>
        </w:rPr>
        <w:fldChar w:fldCharType="begin"/>
      </w:r>
      <w:r>
        <w:rPr>
          <w:szCs w:val="20"/>
          <w:lang w:val="en-GB"/>
        </w:rPr>
        <w:instrText xml:space="preserve"> REF _Ref11851654 \r \h  \* MERGEFORMAT </w:instrText>
      </w:r>
      <w:r>
        <w:rPr>
          <w:szCs w:val="20"/>
          <w:lang w:val="en-GB"/>
        </w:rPr>
        <w:fldChar w:fldCharType="separate"/>
      </w:r>
      <w:r>
        <w:rPr>
          <w:szCs w:val="20"/>
          <w:lang w:val="en-GB"/>
        </w:rPr>
        <w:t>18</w:t>
      </w:r>
      <w:r>
        <w:rPr>
          <w:szCs w:val="20"/>
          <w:lang w:val="en-GB"/>
        </w:rPr>
        <w:fldChar w:fldCharType="end"/>
      </w:r>
      <w:r>
        <w:rPr>
          <w:szCs w:val="20"/>
          <w:lang w:val="en-GB"/>
        </w:rPr>
        <w:t xml:space="preserve"> or in section GCC </w:t>
      </w:r>
      <w:r>
        <w:rPr>
          <w:szCs w:val="20"/>
          <w:lang w:val="en-GB"/>
        </w:rPr>
        <w:fldChar w:fldCharType="begin"/>
      </w:r>
      <w:r>
        <w:rPr>
          <w:szCs w:val="20"/>
          <w:lang w:val="en-GB"/>
        </w:rPr>
        <w:instrText xml:space="preserve"> REF _Ref11851666 \r \h  \* MERGEFORMAT </w:instrText>
      </w:r>
      <w:r>
        <w:rPr>
          <w:szCs w:val="20"/>
          <w:lang w:val="en-GB"/>
        </w:rPr>
        <w:fldChar w:fldCharType="separate"/>
      </w:r>
      <w:r>
        <w:rPr>
          <w:szCs w:val="20"/>
          <w:lang w:val="en-GB"/>
        </w:rPr>
        <w:t>19</w:t>
      </w:r>
      <w:r>
        <w:rPr>
          <w:szCs w:val="20"/>
          <w:lang w:val="en-GB"/>
        </w:rPr>
        <w:fldChar w:fldCharType="end"/>
      </w:r>
      <w:r>
        <w:rPr>
          <w:szCs w:val="20"/>
          <w:lang w:val="en-GB"/>
        </w:rPr>
        <w:t xml:space="preserve"> has occurred</w:t>
      </w:r>
      <w:bookmarkEnd w:id="50"/>
      <w:r>
        <w:rPr>
          <w:szCs w:val="20"/>
          <w:lang w:val="en-GB"/>
        </w:rPr>
        <w:t xml:space="preserve">, such Party may, within forty-five (45) days after receipt of notice of termination from the other Party, refer the matter to amicable dispute resolution pursuant to </w:t>
      </w:r>
      <w:bookmarkStart w:id="51" w:name="_Hlk12288341"/>
      <w:r>
        <w:rPr>
          <w:szCs w:val="20"/>
          <w:lang w:val="en-GB"/>
        </w:rPr>
        <w:t xml:space="preserve">section GCC </w:t>
      </w:r>
      <w:r>
        <w:rPr>
          <w:szCs w:val="20"/>
          <w:lang w:val="en-GB"/>
        </w:rPr>
        <w:fldChar w:fldCharType="begin"/>
      </w:r>
      <w:r>
        <w:rPr>
          <w:szCs w:val="20"/>
          <w:lang w:val="en-GB"/>
        </w:rPr>
        <w:instrText xml:space="preserve"> REF _Ref11851701 \r \h  \* MERGEFORMAT </w:instrText>
      </w:r>
      <w:r>
        <w:rPr>
          <w:szCs w:val="20"/>
          <w:lang w:val="en-GB"/>
        </w:rPr>
        <w:fldChar w:fldCharType="separate"/>
      </w:r>
      <w:r>
        <w:rPr>
          <w:szCs w:val="20"/>
          <w:lang w:val="en-GB"/>
        </w:rPr>
        <w:t>44</w:t>
      </w:r>
      <w:r>
        <w:rPr>
          <w:szCs w:val="20"/>
          <w:lang w:val="en-GB"/>
        </w:rPr>
        <w:fldChar w:fldCharType="end"/>
      </w:r>
      <w:bookmarkEnd w:id="51"/>
      <w:r>
        <w:rPr>
          <w:szCs w:val="20"/>
          <w:lang w:val="en-GB"/>
        </w:rPr>
        <w:t>, and the Contract shall not be terminated on account of such event except in accordance with the terms of any resulting arbitral award.</w:t>
      </w:r>
    </w:p>
    <w:p>
      <w:pPr>
        <w:pStyle w:val="3"/>
        <w:rPr>
          <w:lang w:val="en-GB"/>
        </w:rPr>
      </w:pPr>
      <w:bookmarkStart w:id="52" w:name="_Toc21076590"/>
      <w:r>
        <w:rPr>
          <w:lang w:val="en-GB"/>
        </w:rPr>
        <w:t>OBLIGATIONS OF THE SUPPLIER</w:t>
      </w:r>
      <w:bookmarkEnd w:id="52"/>
    </w:p>
    <w:p>
      <w:pPr>
        <w:pStyle w:val="4"/>
        <w:numPr>
          <w:ilvl w:val="0"/>
          <w:numId w:val="5"/>
        </w:numPr>
      </w:pPr>
      <w:bookmarkStart w:id="53" w:name="_Toc21076591"/>
      <w:r>
        <w:t>General</w:t>
      </w:r>
      <w:bookmarkEnd w:id="53"/>
    </w:p>
    <w:p>
      <w:pPr>
        <w:pStyle w:val="28"/>
        <w:numPr>
          <w:ilvl w:val="1"/>
          <w:numId w:val="5"/>
        </w:numPr>
        <w:ind w:left="426"/>
        <w:rPr>
          <w:szCs w:val="20"/>
          <w:lang w:val="en-GB"/>
        </w:rPr>
      </w:pPr>
      <w:r>
        <w:rPr>
          <w:szCs w:val="20"/>
          <w:lang w:val="en-GB"/>
        </w:rPr>
        <w:t>The Supplier shall perform the Supply of Goods and carry out its obligations with all due diligence and efficiency, in accordance with generally accepted professional techniques and practices, and shall observe sound management practices, and employ appropriate advanced technology and safe and effective equipment, machinery, materials and methods. The Supplier shall always act, in respect of any matter relating to the Contract or to the Supply of Goods, as faithful advisers to the Procuring Entity</w:t>
      </w:r>
      <w:bookmarkStart w:id="54" w:name="_Hlk20729282"/>
      <w:r>
        <w:rPr>
          <w:szCs w:val="20"/>
          <w:lang w:val="en-GB"/>
        </w:rPr>
        <w:t>, and shall at all times be considered responsible for the correct implementation of the Contract by its Subcontractors or Third Parties</w:t>
      </w:r>
      <w:bookmarkEnd w:id="54"/>
      <w:r>
        <w:rPr>
          <w:szCs w:val="20"/>
          <w:lang w:val="en-GB"/>
        </w:rPr>
        <w:t>.</w:t>
      </w:r>
    </w:p>
    <w:p>
      <w:pPr>
        <w:pStyle w:val="4"/>
        <w:numPr>
          <w:ilvl w:val="0"/>
          <w:numId w:val="5"/>
        </w:numPr>
      </w:pPr>
      <w:bookmarkStart w:id="55" w:name="_Toc21076592"/>
      <w:r>
        <w:t>Law governing the Supply of Goods</w:t>
      </w:r>
      <w:bookmarkEnd w:id="55"/>
    </w:p>
    <w:p>
      <w:pPr>
        <w:pStyle w:val="28"/>
        <w:numPr>
          <w:ilvl w:val="1"/>
          <w:numId w:val="5"/>
        </w:numPr>
        <w:ind w:left="426"/>
        <w:rPr>
          <w:szCs w:val="20"/>
          <w:lang w:val="en-GB"/>
        </w:rPr>
      </w:pPr>
      <w:r>
        <w:rPr>
          <w:szCs w:val="20"/>
          <w:lang w:val="en-GB"/>
        </w:rPr>
        <w:t>The Supplier shall perform the Supply of Goods in accordance with Applicable Laws and shall take all practicable steps to ensure that any Subcontractor, as well as the Personnel of the Supplier and any Subcontractor, complies with Applicable Laws. The Procuring Entity shall notify the Supplier in writing of relevant local customs, and the Supplier shall, after such notification, respect such customs.</w:t>
      </w:r>
    </w:p>
    <w:p>
      <w:pPr>
        <w:pStyle w:val="4"/>
        <w:numPr>
          <w:ilvl w:val="0"/>
          <w:numId w:val="5"/>
        </w:numPr>
      </w:pPr>
      <w:bookmarkStart w:id="56" w:name="_Toc21076593"/>
      <w:r>
        <w:t>Conflict of interest or conflicting activities</w:t>
      </w:r>
      <w:bookmarkEnd w:id="56"/>
    </w:p>
    <w:p>
      <w:pPr>
        <w:pStyle w:val="28"/>
        <w:numPr>
          <w:ilvl w:val="1"/>
          <w:numId w:val="5"/>
        </w:numPr>
        <w:ind w:left="426"/>
        <w:rPr>
          <w:szCs w:val="20"/>
          <w:lang w:val="en-GB"/>
        </w:rPr>
      </w:pPr>
      <w:r>
        <w:rPr>
          <w:szCs w:val="20"/>
          <w:lang w:val="en-GB"/>
        </w:rPr>
        <w:t>The Supplier shall avoid situations that put its impartiality at risk. The remuneration of the Supplier shall constitute the sole remuneration in connection with the Contract or the Supply of Goods provided. In case of Subcontractors, the Supplier shall ensure that none of the Subcontractor is in a situation of conflict of interest.</w:t>
      </w:r>
    </w:p>
    <w:p>
      <w:pPr>
        <w:pStyle w:val="4"/>
        <w:numPr>
          <w:ilvl w:val="0"/>
          <w:numId w:val="5"/>
        </w:numPr>
      </w:pPr>
      <w:bookmarkStart w:id="57" w:name="_Toc21076594"/>
      <w:bookmarkStart w:id="58" w:name="_Ref11851308"/>
      <w:r>
        <w:t>Confidentiality</w:t>
      </w:r>
      <w:bookmarkEnd w:id="57"/>
      <w:bookmarkEnd w:id="58"/>
    </w:p>
    <w:p>
      <w:pPr>
        <w:pStyle w:val="28"/>
        <w:numPr>
          <w:ilvl w:val="1"/>
          <w:numId w:val="5"/>
        </w:numPr>
        <w:ind w:left="426"/>
        <w:rPr>
          <w:szCs w:val="20"/>
          <w:lang w:val="en-GB"/>
        </w:rPr>
      </w:pPr>
      <w:bookmarkStart w:id="59" w:name="_Ref10810727"/>
      <w:r>
        <w:rPr>
          <w:szCs w:val="20"/>
          <w:lang w:val="en-GB"/>
        </w:rPr>
        <w:t>The Supplier, including its Subcontractors, shall not, without the Procuring Entity’s prior written consent, disclose the Contract, or any of its provision, specification, plan, drawing, pattern, sample, or information furnished by or on behalf of the Procuring Entity to any person other than a person employed by the Supplier in the performance of the Contract. Disclosure to any such employed person shall be made in confidence and shall extend only so far as may be necessary for purposes of such performance.</w:t>
      </w:r>
      <w:bookmarkEnd w:id="59"/>
    </w:p>
    <w:p>
      <w:pPr>
        <w:pStyle w:val="28"/>
        <w:numPr>
          <w:ilvl w:val="1"/>
          <w:numId w:val="5"/>
        </w:numPr>
        <w:ind w:left="426"/>
        <w:rPr>
          <w:szCs w:val="20"/>
          <w:lang w:val="en-GB"/>
        </w:rPr>
      </w:pPr>
      <w:r>
        <w:rPr>
          <w:szCs w:val="20"/>
          <w:lang w:val="en-GB"/>
        </w:rPr>
        <w:t xml:space="preserve">The Supplier shall not, without the Procuring Entity prior written consent, make use of any document or information enumerated in GCC section </w:t>
      </w:r>
      <w:r>
        <w:rPr>
          <w:szCs w:val="20"/>
          <w:lang w:val="en-GB"/>
        </w:rPr>
        <w:fldChar w:fldCharType="begin"/>
      </w:r>
      <w:r>
        <w:rPr>
          <w:szCs w:val="20"/>
          <w:lang w:val="en-GB"/>
        </w:rPr>
        <w:instrText xml:space="preserve"> REF _Ref10810727 \r \h  \* MERGEFORMAT </w:instrText>
      </w:r>
      <w:r>
        <w:rPr>
          <w:szCs w:val="20"/>
          <w:lang w:val="en-GB"/>
        </w:rPr>
        <w:fldChar w:fldCharType="separate"/>
      </w:r>
      <w:r>
        <w:rPr>
          <w:szCs w:val="20"/>
          <w:lang w:val="en-GB"/>
        </w:rPr>
        <w:t>23.1</w:t>
      </w:r>
      <w:r>
        <w:rPr>
          <w:szCs w:val="20"/>
          <w:lang w:val="en-GB"/>
        </w:rPr>
        <w:fldChar w:fldCharType="end"/>
      </w:r>
      <w:r>
        <w:rPr>
          <w:szCs w:val="20"/>
          <w:lang w:val="en-GB"/>
        </w:rPr>
        <w:t xml:space="preserve"> except for purposes of performing the Contract.</w:t>
      </w:r>
    </w:p>
    <w:p>
      <w:pPr>
        <w:pStyle w:val="28"/>
        <w:numPr>
          <w:ilvl w:val="1"/>
          <w:numId w:val="5"/>
        </w:numPr>
        <w:ind w:left="426"/>
        <w:rPr>
          <w:szCs w:val="20"/>
          <w:lang w:val="en-GB"/>
        </w:rPr>
      </w:pPr>
      <w:r>
        <w:rPr>
          <w:szCs w:val="20"/>
          <w:lang w:val="en-GB"/>
        </w:rPr>
        <w:t xml:space="preserve">Any document, other than the Contract itself, enumerated in GCC section </w:t>
      </w:r>
      <w:r>
        <w:rPr>
          <w:szCs w:val="20"/>
          <w:lang w:val="en-GB"/>
        </w:rPr>
        <w:fldChar w:fldCharType="begin"/>
      </w:r>
      <w:r>
        <w:rPr>
          <w:szCs w:val="20"/>
          <w:lang w:val="en-GB"/>
        </w:rPr>
        <w:instrText xml:space="preserve"> REF _Ref10810727 \r \h  \* MERGEFORMAT </w:instrText>
      </w:r>
      <w:r>
        <w:rPr>
          <w:szCs w:val="20"/>
          <w:lang w:val="en-GB"/>
        </w:rPr>
        <w:fldChar w:fldCharType="separate"/>
      </w:r>
      <w:r>
        <w:rPr>
          <w:szCs w:val="20"/>
          <w:lang w:val="en-GB"/>
        </w:rPr>
        <w:t>23.1</w:t>
      </w:r>
      <w:r>
        <w:rPr>
          <w:szCs w:val="20"/>
          <w:lang w:val="en-GB"/>
        </w:rPr>
        <w:fldChar w:fldCharType="end"/>
      </w:r>
      <w:r>
        <w:rPr>
          <w:szCs w:val="20"/>
          <w:lang w:val="en-GB"/>
        </w:rPr>
        <w:t xml:space="preserve"> shall remain the property of the Procuring Entity and shall be returned to the Procuring Entity upon finalisation of the Contract if so required by the Procuring Entity.</w:t>
      </w:r>
    </w:p>
    <w:p>
      <w:pPr>
        <w:pStyle w:val="28"/>
        <w:numPr>
          <w:ilvl w:val="1"/>
          <w:numId w:val="5"/>
        </w:numPr>
        <w:ind w:left="426"/>
        <w:rPr>
          <w:szCs w:val="20"/>
          <w:lang w:val="en-GB"/>
        </w:rPr>
      </w:pPr>
      <w:r>
        <w:rPr>
          <w:szCs w:val="20"/>
          <w:lang w:val="en-GB"/>
        </w:rPr>
        <w:t>The obligation of confidentiality shall be extended up to two (2) years after the expiration of the Contract.</w:t>
      </w:r>
    </w:p>
    <w:p>
      <w:pPr>
        <w:pStyle w:val="4"/>
        <w:numPr>
          <w:ilvl w:val="0"/>
          <w:numId w:val="5"/>
        </w:numPr>
      </w:pPr>
      <w:bookmarkStart w:id="60" w:name="_Ref11788278"/>
      <w:bookmarkStart w:id="61" w:name="_Toc20728007"/>
      <w:bookmarkStart w:id="62" w:name="_Toc21076595"/>
      <w:r>
        <w:t>Accounting, inspection and auditing</w:t>
      </w:r>
      <w:bookmarkEnd w:id="60"/>
      <w:bookmarkEnd w:id="61"/>
      <w:bookmarkEnd w:id="62"/>
    </w:p>
    <w:p>
      <w:pPr>
        <w:pStyle w:val="28"/>
        <w:numPr>
          <w:ilvl w:val="1"/>
          <w:numId w:val="5"/>
        </w:numPr>
        <w:ind w:left="426"/>
        <w:rPr>
          <w:szCs w:val="20"/>
          <w:lang w:val="en-GB"/>
        </w:rPr>
      </w:pPr>
      <w:bookmarkStart w:id="63" w:name="_Ref11787720"/>
      <w:r>
        <w:rPr>
          <w:szCs w:val="20"/>
          <w:lang w:val="en-GB"/>
        </w:rPr>
        <w:t>The Service Provider shall keep accurate and systematic accounts and records in respect of the Services, in accordance with the Kiribati legislation, and shall permit the Procuring Entity or its designated representative periodically, and up to one (1) year from the expiration or termination of the Contract, to inspect the accounts and records and to make copies of the relevant documentation as well as to have them audited by the Kiribati Audit Office.</w:t>
      </w:r>
      <w:bookmarkEnd w:id="63"/>
    </w:p>
    <w:p>
      <w:pPr>
        <w:pStyle w:val="4"/>
        <w:numPr>
          <w:ilvl w:val="0"/>
          <w:numId w:val="5"/>
        </w:numPr>
      </w:pPr>
      <w:bookmarkStart w:id="64" w:name="_Toc21076596"/>
      <w:r>
        <w:t>Patent rights</w:t>
      </w:r>
      <w:bookmarkEnd w:id="64"/>
    </w:p>
    <w:p>
      <w:pPr>
        <w:pStyle w:val="28"/>
        <w:numPr>
          <w:ilvl w:val="1"/>
          <w:numId w:val="5"/>
        </w:numPr>
        <w:ind w:left="426"/>
        <w:rPr>
          <w:szCs w:val="20"/>
          <w:lang w:val="en-GB"/>
        </w:rPr>
      </w:pPr>
      <w:r>
        <w:rPr>
          <w:szCs w:val="20"/>
          <w:lang w:val="en-GB"/>
        </w:rPr>
        <w:t>The Supplier shall indemnify the Procuring Entity against all third-party claims of infringement of patent, trademark, or industrial design rights arising from use or misuse of the Goods or any of their parts.</w:t>
      </w:r>
    </w:p>
    <w:p>
      <w:pPr>
        <w:pStyle w:val="4"/>
        <w:numPr>
          <w:ilvl w:val="0"/>
          <w:numId w:val="5"/>
        </w:numPr>
      </w:pPr>
      <w:bookmarkStart w:id="65" w:name="_Ref12354950"/>
      <w:bookmarkStart w:id="66" w:name="_Ref11851432"/>
      <w:bookmarkStart w:id="67" w:name="_Toc21076597"/>
      <w:r>
        <w:t xml:space="preserve">Documents prepared by the Supplier to be the Property of the </w:t>
      </w:r>
      <w:bookmarkEnd w:id="65"/>
      <w:bookmarkEnd w:id="66"/>
      <w:r>
        <w:t>Procuring Entity</w:t>
      </w:r>
      <w:bookmarkEnd w:id="67"/>
    </w:p>
    <w:p>
      <w:pPr>
        <w:pStyle w:val="28"/>
        <w:numPr>
          <w:ilvl w:val="1"/>
          <w:numId w:val="5"/>
        </w:numPr>
        <w:ind w:left="426"/>
        <w:rPr>
          <w:szCs w:val="20"/>
          <w:lang w:val="en-GB"/>
        </w:rPr>
      </w:pPr>
      <w:r>
        <w:rPr>
          <w:szCs w:val="20"/>
          <w:lang w:val="en-GB"/>
        </w:rPr>
        <w:t>All plans, drawings, specifications, designs, reports, other documents and software prepared by the Supplier for the Procuring Entity under the execution of the Contract shall become and remain property of the Procuring Entity, and the Supplier shall, not later than upon termination or expiration of the Contract, deliver all such documents to the Procuring Entity, together with a detailed inventory. The Supplier may retain a copy of such documents and software.</w:t>
      </w:r>
    </w:p>
    <w:p>
      <w:pPr>
        <w:pStyle w:val="4"/>
        <w:numPr>
          <w:ilvl w:val="0"/>
          <w:numId w:val="5"/>
        </w:numPr>
      </w:pPr>
      <w:bookmarkStart w:id="68" w:name="_Toc21076598"/>
      <w:bookmarkStart w:id="69" w:name="_Ref18490472"/>
      <w:r>
        <w:t>Inspections and tests</w:t>
      </w:r>
      <w:bookmarkEnd w:id="68"/>
      <w:bookmarkEnd w:id="69"/>
    </w:p>
    <w:p>
      <w:pPr>
        <w:pStyle w:val="28"/>
        <w:numPr>
          <w:ilvl w:val="1"/>
          <w:numId w:val="5"/>
        </w:numPr>
        <w:ind w:left="426"/>
        <w:rPr>
          <w:szCs w:val="20"/>
          <w:lang w:val="en-GB"/>
        </w:rPr>
      </w:pPr>
      <w:r>
        <w:rPr>
          <w:szCs w:val="20"/>
          <w:lang w:val="en-GB"/>
        </w:rPr>
        <w:t>The Procuring Entity or its representative shall have the right to inspect and/or to test the Goods to confirm their conformity to the Specifications at no extra cost to the Procuring Entity. The SCC and the Specifications shall specify what inspections and tests the Procuring Entity requires and where they are to be conducted. The Procuring Entity shall notify the Supplier in writing, in a timely manner, of the identity of any representatives retained for these purposes.</w:t>
      </w:r>
    </w:p>
    <w:p>
      <w:pPr>
        <w:pStyle w:val="28"/>
        <w:numPr>
          <w:ilvl w:val="1"/>
          <w:numId w:val="5"/>
        </w:numPr>
        <w:ind w:left="426"/>
        <w:rPr>
          <w:szCs w:val="20"/>
          <w:lang w:val="en-GB"/>
        </w:rPr>
      </w:pPr>
      <w:r>
        <w:rPr>
          <w:szCs w:val="20"/>
          <w:lang w:val="en-GB"/>
        </w:rPr>
        <w:t>The inspections and tests may be conducted on the premises of the Supplier or its Subcontractor(s), at point of delivery, and/or at the Goods’ final destination. If conducted on the premises of the Supplier or its Subcontractor(s), all reasonable facilities and assistance, including access to drawings and production data, shall be furnished to the inspectors at no charge to the Procuring Entity.</w:t>
      </w:r>
    </w:p>
    <w:p>
      <w:pPr>
        <w:pStyle w:val="28"/>
        <w:numPr>
          <w:ilvl w:val="1"/>
          <w:numId w:val="5"/>
        </w:numPr>
        <w:ind w:left="426"/>
        <w:rPr>
          <w:szCs w:val="20"/>
          <w:lang w:val="en-GB"/>
        </w:rPr>
      </w:pPr>
      <w:r>
        <w:rPr>
          <w:szCs w:val="20"/>
          <w:lang w:val="en-GB"/>
        </w:rPr>
        <w:t>Should any inspected or tested Goods fail to conform to the Specifications, the Procuring Entity may reject the Goods, and the Supplier shall either replace the rejected Goods or make alterations necessary to meet Specification requirements free of cost to the Procuring Entity.</w:t>
      </w:r>
    </w:p>
    <w:p>
      <w:pPr>
        <w:pStyle w:val="28"/>
        <w:numPr>
          <w:ilvl w:val="1"/>
          <w:numId w:val="5"/>
        </w:numPr>
        <w:ind w:left="426"/>
        <w:rPr>
          <w:szCs w:val="20"/>
          <w:lang w:val="en-GB"/>
        </w:rPr>
      </w:pPr>
      <w:r>
        <w:rPr>
          <w:szCs w:val="20"/>
          <w:lang w:val="en-GB"/>
        </w:rPr>
        <w:t>The Procuring Entity’s right to inspect, test and, where necessary, reject the Goods shall in no way be limited or waived by reason of the Goods having previously been inspected, tested, and passed by the Procuring Entity or its representative prior to the Goods’ shipment from their country of origin.</w:t>
      </w:r>
    </w:p>
    <w:p>
      <w:pPr>
        <w:pStyle w:val="4"/>
        <w:numPr>
          <w:ilvl w:val="0"/>
          <w:numId w:val="5"/>
        </w:numPr>
      </w:pPr>
      <w:bookmarkStart w:id="70" w:name="_Toc21076599"/>
      <w:r>
        <w:t>Packing</w:t>
      </w:r>
      <w:bookmarkEnd w:id="70"/>
    </w:p>
    <w:p>
      <w:pPr>
        <w:pStyle w:val="28"/>
        <w:numPr>
          <w:ilvl w:val="1"/>
          <w:numId w:val="5"/>
        </w:numPr>
        <w:ind w:left="426"/>
        <w:rPr>
          <w:szCs w:val="20"/>
          <w:lang w:val="en-GB"/>
        </w:rPr>
      </w:pPr>
      <w:r>
        <w:rPr>
          <w:szCs w:val="20"/>
          <w:lang w:val="en-GB"/>
        </w:rPr>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pPr>
        <w:pStyle w:val="28"/>
        <w:numPr>
          <w:ilvl w:val="1"/>
          <w:numId w:val="5"/>
        </w:numPr>
        <w:ind w:left="426"/>
        <w:rPr>
          <w:szCs w:val="20"/>
          <w:lang w:val="en-GB"/>
        </w:rPr>
      </w:pPr>
      <w:r>
        <w:rPr>
          <w:szCs w:val="20"/>
          <w:lang w:val="en-GB"/>
        </w:rPr>
        <w:t>The packing, marking, and documentation within and outside the packages shall comply strictly with such special requirements as shall be expressly provided for in the Contract, including additional requirements, if any, specified in the SCC, and in any subsequent instructions ordered by the Procuring Entity.</w:t>
      </w:r>
    </w:p>
    <w:p>
      <w:pPr>
        <w:pStyle w:val="4"/>
        <w:numPr>
          <w:ilvl w:val="0"/>
          <w:numId w:val="5"/>
        </w:numPr>
      </w:pPr>
      <w:bookmarkStart w:id="71" w:name="_Toc21076600"/>
      <w:bookmarkStart w:id="72" w:name="_Ref10823176"/>
      <w:r>
        <w:t>Delivery and documents</w:t>
      </w:r>
      <w:bookmarkEnd w:id="71"/>
      <w:bookmarkEnd w:id="72"/>
    </w:p>
    <w:p>
      <w:pPr>
        <w:pStyle w:val="28"/>
        <w:numPr>
          <w:ilvl w:val="1"/>
          <w:numId w:val="5"/>
        </w:numPr>
        <w:ind w:left="426"/>
        <w:rPr>
          <w:szCs w:val="20"/>
          <w:lang w:val="en-GB"/>
        </w:rPr>
      </w:pPr>
      <w:r>
        <w:rPr>
          <w:szCs w:val="20"/>
          <w:lang w:val="en-GB"/>
        </w:rPr>
        <w:t>Delivery of the Goods shall be made by the Supplier in accordance with the terms specified in the SCC. The details of shipping and/or other documents to be furnished by the Supplier are specified in the SCC.</w:t>
      </w:r>
    </w:p>
    <w:p>
      <w:pPr>
        <w:pStyle w:val="4"/>
        <w:numPr>
          <w:ilvl w:val="0"/>
          <w:numId w:val="5"/>
        </w:numPr>
      </w:pPr>
      <w:bookmarkStart w:id="73" w:name="_Toc21076601"/>
      <w:r>
        <w:t>Incidental services</w:t>
      </w:r>
      <w:bookmarkEnd w:id="73"/>
    </w:p>
    <w:p>
      <w:pPr>
        <w:pStyle w:val="28"/>
        <w:numPr>
          <w:ilvl w:val="1"/>
          <w:numId w:val="5"/>
        </w:numPr>
        <w:ind w:left="426"/>
        <w:rPr>
          <w:szCs w:val="20"/>
          <w:lang w:val="en-GB"/>
        </w:rPr>
      </w:pPr>
      <w:r>
        <w:rPr>
          <w:szCs w:val="20"/>
          <w:lang w:val="en-GB"/>
        </w:rPr>
        <w:t>The Supplier may be required to provide any or all of the following services, including additional services, if any, specified in the SCC:</w:t>
      </w:r>
    </w:p>
    <w:p>
      <w:pPr>
        <w:numPr>
          <w:ilvl w:val="1"/>
          <w:numId w:val="10"/>
        </w:numPr>
        <w:rPr>
          <w:szCs w:val="20"/>
          <w:lang w:val="en-GB"/>
        </w:rPr>
      </w:pPr>
      <w:r>
        <w:rPr>
          <w:szCs w:val="20"/>
          <w:lang w:val="en-GB"/>
        </w:rPr>
        <w:t>performance or supervision of on-site assembly and/or start-up of the supplied Goods;</w:t>
      </w:r>
    </w:p>
    <w:p>
      <w:pPr>
        <w:numPr>
          <w:ilvl w:val="1"/>
          <w:numId w:val="10"/>
        </w:numPr>
        <w:rPr>
          <w:szCs w:val="20"/>
          <w:lang w:val="en-GB"/>
        </w:rPr>
      </w:pPr>
      <w:r>
        <w:rPr>
          <w:szCs w:val="20"/>
          <w:lang w:val="en-GB"/>
        </w:rPr>
        <w:t>furnishing of tools required for assembly and/or maintenance of the supplied Goods;</w:t>
      </w:r>
    </w:p>
    <w:p>
      <w:pPr>
        <w:numPr>
          <w:ilvl w:val="1"/>
          <w:numId w:val="10"/>
        </w:numPr>
        <w:rPr>
          <w:szCs w:val="20"/>
          <w:lang w:val="en-GB"/>
        </w:rPr>
      </w:pPr>
      <w:r>
        <w:rPr>
          <w:szCs w:val="20"/>
          <w:lang w:val="en-GB"/>
        </w:rPr>
        <w:t>furnishing of a detailed operations and maintenance manual for each appropriate unit of the supplied Goods;</w:t>
      </w:r>
    </w:p>
    <w:p>
      <w:pPr>
        <w:numPr>
          <w:ilvl w:val="1"/>
          <w:numId w:val="10"/>
        </w:numPr>
        <w:rPr>
          <w:szCs w:val="20"/>
          <w:lang w:val="en-GB"/>
        </w:rPr>
      </w:pPr>
      <w:r>
        <w:rPr>
          <w:szCs w:val="20"/>
          <w:lang w:val="en-GB"/>
        </w:rPr>
        <w:t>performance or supervision or maintenance and/or repair of the supplied Goods, for a period of time agreed by the parties, provided that this service shall not relieve the Supplier of any warranty obligations under the Contract; and</w:t>
      </w:r>
    </w:p>
    <w:p>
      <w:pPr>
        <w:numPr>
          <w:ilvl w:val="1"/>
          <w:numId w:val="10"/>
        </w:numPr>
        <w:rPr>
          <w:szCs w:val="20"/>
          <w:lang w:val="en-GB"/>
        </w:rPr>
      </w:pPr>
      <w:r>
        <w:rPr>
          <w:szCs w:val="20"/>
          <w:lang w:val="en-GB"/>
        </w:rPr>
        <w:t>training of the Procuring Entity’s personnel, at the Supplier’s plant and/or on-site, in assembly, start-up, operation, maintenance, and/or repair of the supplied Goods.</w:t>
      </w:r>
    </w:p>
    <w:p>
      <w:pPr>
        <w:pStyle w:val="28"/>
        <w:numPr>
          <w:ilvl w:val="1"/>
          <w:numId w:val="5"/>
        </w:numPr>
        <w:ind w:left="426"/>
        <w:rPr>
          <w:szCs w:val="20"/>
          <w:lang w:val="en-GB"/>
        </w:rPr>
      </w:pPr>
      <w:r>
        <w:rPr>
          <w:szCs w:val="20"/>
          <w:lang w:val="en-GB"/>
        </w:rPr>
        <w:t>Prices charged by the Supplier for incidental services, if not included in the Contract Price for the Goods, shall be agreed upon in advance by the Parties.</w:t>
      </w:r>
    </w:p>
    <w:p>
      <w:pPr>
        <w:pStyle w:val="4"/>
        <w:numPr>
          <w:ilvl w:val="0"/>
          <w:numId w:val="5"/>
        </w:numPr>
      </w:pPr>
      <w:bookmarkStart w:id="74" w:name="_Toc21076602"/>
      <w:r>
        <w:t>Spare parts</w:t>
      </w:r>
      <w:bookmarkEnd w:id="74"/>
    </w:p>
    <w:p>
      <w:pPr>
        <w:pStyle w:val="28"/>
        <w:numPr>
          <w:ilvl w:val="1"/>
          <w:numId w:val="5"/>
        </w:numPr>
        <w:ind w:left="426"/>
        <w:rPr>
          <w:szCs w:val="20"/>
          <w:lang w:val="en-GB"/>
        </w:rPr>
      </w:pPr>
      <w:r>
        <w:rPr>
          <w:szCs w:val="20"/>
          <w:lang w:val="en-GB"/>
        </w:rPr>
        <w:t>As specified in the SCC, the Supplier may be required to provide any or all of the materials, notifications, and information pertaining to spare parts manufactured or distributed by the Supplier.</w:t>
      </w:r>
    </w:p>
    <w:p>
      <w:pPr>
        <w:pStyle w:val="28"/>
        <w:numPr>
          <w:ilvl w:val="1"/>
          <w:numId w:val="5"/>
        </w:numPr>
        <w:ind w:left="426"/>
        <w:rPr>
          <w:szCs w:val="20"/>
          <w:lang w:val="en-GB"/>
        </w:rPr>
      </w:pPr>
      <w:r>
        <w:rPr>
          <w:szCs w:val="20"/>
          <w:lang w:val="en-GB"/>
        </w:rPr>
        <w:t>Spare parts as the Procuring Entity may elect to purchase from the Supplier, provided that this election shall not relieve the Supplier of any warranty obligations under the Contract; and</w:t>
      </w:r>
    </w:p>
    <w:p>
      <w:pPr>
        <w:pStyle w:val="28"/>
        <w:numPr>
          <w:ilvl w:val="1"/>
          <w:numId w:val="5"/>
        </w:numPr>
        <w:ind w:left="426"/>
        <w:rPr>
          <w:szCs w:val="20"/>
          <w:lang w:val="en-GB"/>
        </w:rPr>
      </w:pPr>
      <w:r>
        <w:rPr>
          <w:szCs w:val="20"/>
          <w:lang w:val="en-GB"/>
        </w:rPr>
        <w:t>In the event of termination of production of the spare parts:</w:t>
      </w:r>
    </w:p>
    <w:p>
      <w:pPr>
        <w:pStyle w:val="28"/>
        <w:numPr>
          <w:ilvl w:val="0"/>
          <w:numId w:val="0"/>
        </w:numPr>
        <w:ind w:left="426"/>
        <w:rPr>
          <w:szCs w:val="20"/>
          <w:lang w:val="en-GB"/>
        </w:rPr>
      </w:pPr>
      <w:r>
        <w:rPr>
          <w:szCs w:val="20"/>
          <w:lang w:val="en-GB"/>
        </w:rPr>
        <w:t>(i)</w:t>
      </w:r>
      <w:r>
        <w:rPr>
          <w:szCs w:val="20"/>
          <w:lang w:val="en-GB"/>
        </w:rPr>
        <w:tab/>
      </w:r>
      <w:r>
        <w:rPr>
          <w:szCs w:val="20"/>
          <w:lang w:val="en-GB"/>
        </w:rPr>
        <w:t>advance notification to the Procuring Entity of the pending termination, in sufficient time to permit the Procuring Entity to procure needed requirements; and</w:t>
      </w:r>
    </w:p>
    <w:p>
      <w:pPr>
        <w:pStyle w:val="28"/>
        <w:numPr>
          <w:ilvl w:val="0"/>
          <w:numId w:val="0"/>
        </w:numPr>
        <w:ind w:left="426"/>
        <w:rPr>
          <w:szCs w:val="20"/>
          <w:lang w:val="en-GB"/>
        </w:rPr>
      </w:pPr>
      <w:r>
        <w:rPr>
          <w:szCs w:val="20"/>
          <w:lang w:val="en-GB"/>
        </w:rPr>
        <w:t>(ii)</w:t>
      </w:r>
      <w:r>
        <w:rPr>
          <w:szCs w:val="20"/>
          <w:lang w:val="en-GB"/>
        </w:rPr>
        <w:tab/>
      </w:r>
      <w:r>
        <w:rPr>
          <w:szCs w:val="20"/>
          <w:lang w:val="en-GB"/>
        </w:rPr>
        <w:t>following such termination, furnishing at no cost to the Procuring Entity the blueprints, drawings, and specifications of the spare parts, if requested.</w:t>
      </w:r>
    </w:p>
    <w:p>
      <w:pPr>
        <w:pStyle w:val="4"/>
        <w:numPr>
          <w:ilvl w:val="0"/>
          <w:numId w:val="5"/>
        </w:numPr>
      </w:pPr>
      <w:bookmarkStart w:id="75" w:name="_Toc21076603"/>
      <w:bookmarkStart w:id="76" w:name="_Ref18490559"/>
      <w:r>
        <w:t>Guarantee</w:t>
      </w:r>
      <w:bookmarkEnd w:id="75"/>
      <w:bookmarkEnd w:id="76"/>
    </w:p>
    <w:p>
      <w:pPr>
        <w:pStyle w:val="28"/>
        <w:numPr>
          <w:ilvl w:val="1"/>
          <w:numId w:val="5"/>
        </w:numPr>
        <w:ind w:left="426"/>
        <w:rPr>
          <w:szCs w:val="20"/>
          <w:lang w:val="en-GB"/>
        </w:rPr>
      </w:pPr>
      <w:r>
        <w:rPr>
          <w:szCs w:val="20"/>
          <w:lang w:val="en-GB"/>
        </w:rPr>
        <w:t xml:space="preserve">The Supplier guarantees that the Goods supplied under the Contract are new, unused, of the most recent or current models, and that they incorporate all recent improvements in design and materials unless provided otherwise in the Contract. </w:t>
      </w:r>
    </w:p>
    <w:p>
      <w:pPr>
        <w:pStyle w:val="28"/>
        <w:numPr>
          <w:ilvl w:val="1"/>
          <w:numId w:val="5"/>
        </w:numPr>
        <w:ind w:left="426"/>
        <w:rPr>
          <w:szCs w:val="20"/>
          <w:lang w:val="en-GB"/>
        </w:rPr>
      </w:pPr>
      <w:r>
        <w:rPr>
          <w:szCs w:val="20"/>
          <w:lang w:val="en-GB"/>
        </w:rPr>
        <w:t>In case the Supply of Goods concerns second hand / used Goods, the Supplier provides a guarantee certification on the condition of the Goods and guarantees that the Goods are</w:t>
      </w:r>
      <w:r>
        <w:t xml:space="preserve"> in a </w:t>
      </w:r>
      <w:r>
        <w:rPr>
          <w:szCs w:val="20"/>
          <w:lang w:val="en-GB"/>
        </w:rPr>
        <w:t xml:space="preserve">satisfactory condition. </w:t>
      </w:r>
    </w:p>
    <w:p>
      <w:pPr>
        <w:pStyle w:val="28"/>
        <w:numPr>
          <w:ilvl w:val="1"/>
          <w:numId w:val="5"/>
        </w:numPr>
        <w:ind w:left="426"/>
        <w:rPr>
          <w:szCs w:val="20"/>
          <w:lang w:val="en-GB"/>
        </w:rPr>
      </w:pPr>
      <w:r>
        <w:rPr>
          <w:szCs w:val="20"/>
          <w:lang w:val="en-GB"/>
        </w:rPr>
        <w:t>The Supplier further guarantees that all Goods supplied under the Contract shall have no defect, arising from design, materials, or workmanship (except when the design and/or material is required by the Procuring Entity Specifications) or from any act or omission of the Supplier, that may develop under normal use of the supplied Goods in the conditions prevailing in the country of final destination. This guarantee shall remain valid for twelve (12) months after the Goods, or any of its portion as the case may be, have been delivered to and accepted at the final destination indicated in the Contract, unless specified otherwise in the SCC.</w:t>
      </w:r>
    </w:p>
    <w:p>
      <w:pPr>
        <w:pStyle w:val="28"/>
        <w:numPr>
          <w:ilvl w:val="1"/>
          <w:numId w:val="5"/>
        </w:numPr>
        <w:ind w:left="426"/>
        <w:rPr>
          <w:szCs w:val="20"/>
          <w:lang w:val="en-GB"/>
        </w:rPr>
      </w:pPr>
      <w:r>
        <w:rPr>
          <w:szCs w:val="20"/>
          <w:lang w:val="en-GB"/>
        </w:rPr>
        <w:t>The Procuring Entity shall promptly notify the Supplier in writing of any claims arising under this warranty.</w:t>
      </w:r>
    </w:p>
    <w:p>
      <w:pPr>
        <w:pStyle w:val="28"/>
        <w:numPr>
          <w:ilvl w:val="1"/>
          <w:numId w:val="5"/>
        </w:numPr>
        <w:ind w:left="426"/>
        <w:rPr>
          <w:szCs w:val="20"/>
          <w:lang w:val="en-GB"/>
        </w:rPr>
      </w:pPr>
      <w:r>
        <w:rPr>
          <w:szCs w:val="20"/>
          <w:lang w:val="en-GB"/>
        </w:rPr>
        <w:t>Upon receipt of such notice, the Supplier shall, within the period specified in the SCC and with all reasonable speed, repair or replace the defective Goods or parts thereof, without costs to the Procuring Entity other than, where applicable, the cost of inland delivery of the repaired or replaced Goods or the port or place of entry to the final destination.</w:t>
      </w:r>
    </w:p>
    <w:p>
      <w:pPr>
        <w:pStyle w:val="28"/>
        <w:numPr>
          <w:ilvl w:val="1"/>
          <w:numId w:val="5"/>
        </w:numPr>
        <w:ind w:left="426"/>
        <w:rPr>
          <w:szCs w:val="20"/>
          <w:lang w:val="en-GB"/>
        </w:rPr>
      </w:pPr>
      <w:r>
        <w:rPr>
          <w:szCs w:val="20"/>
          <w:lang w:val="en-GB"/>
        </w:rPr>
        <w:t>If the Supplier, having been notified, fails to remedy the defect(s) within the period specified in the SCC, the Procuring Entity may proceed to take such remedial action as may be necessary, at the Supplier’s risk and expense and without prejudice to any other rights which the Procuring Entity may have against the Supplier under the Contract.</w:t>
      </w:r>
    </w:p>
    <w:p>
      <w:pPr>
        <w:pStyle w:val="4"/>
        <w:numPr>
          <w:ilvl w:val="0"/>
          <w:numId w:val="5"/>
        </w:numPr>
      </w:pPr>
      <w:bookmarkStart w:id="77" w:name="_Ref11851465"/>
      <w:bookmarkStart w:id="78" w:name="_Toc21076604"/>
      <w:r>
        <w:t>Equipment and Materials furnished by the Procuring Entity</w:t>
      </w:r>
      <w:bookmarkEnd w:id="77"/>
      <w:bookmarkEnd w:id="78"/>
    </w:p>
    <w:p>
      <w:pPr>
        <w:pStyle w:val="28"/>
        <w:numPr>
          <w:ilvl w:val="1"/>
          <w:numId w:val="5"/>
        </w:numPr>
        <w:ind w:left="426"/>
        <w:rPr>
          <w:szCs w:val="20"/>
          <w:lang w:val="en-GB"/>
        </w:rPr>
      </w:pPr>
      <w:r>
        <w:rPr>
          <w:szCs w:val="20"/>
          <w:lang w:val="en-GB"/>
        </w:rPr>
        <w:t>Equipment and materials made available to the Supplier by the Procuring Entity or purchased by the Supplier with funds provided by the Procuring Entity, shall be the property of the Procuring Entity and shall be marked accordingly. Upon termination or expiration of the Contract, the Supplier shall make available to the Procuring Entity an inventory of such equipment and materials and shall dispose of such equipment and materials in accordance with the Procuring Entity’s instructions. While in possession of such equipment and materials, the Supplier, unless otherwise instructed by the Procuring Entity in writing, shall insure them at the expense of the Procuring Entity in an amount equal to their full replacement value.</w:t>
      </w:r>
    </w:p>
    <w:p>
      <w:pPr>
        <w:pStyle w:val="3"/>
        <w:rPr>
          <w:lang w:val="en-GB"/>
        </w:rPr>
      </w:pPr>
      <w:bookmarkStart w:id="79" w:name="_Toc21076605"/>
      <w:r>
        <w:rPr>
          <w:lang w:val="en-GB"/>
        </w:rPr>
        <w:t>OBLIGATIONS OF THE PROCURING ENTITY</w:t>
      </w:r>
      <w:bookmarkEnd w:id="79"/>
    </w:p>
    <w:p>
      <w:pPr>
        <w:pStyle w:val="4"/>
        <w:numPr>
          <w:ilvl w:val="0"/>
          <w:numId w:val="5"/>
        </w:numPr>
      </w:pPr>
      <w:bookmarkStart w:id="80" w:name="_Toc21076606"/>
      <w:r>
        <w:t>Assistance and exemptions</w:t>
      </w:r>
      <w:bookmarkEnd w:id="80"/>
    </w:p>
    <w:p>
      <w:pPr>
        <w:pStyle w:val="28"/>
        <w:numPr>
          <w:ilvl w:val="1"/>
          <w:numId w:val="5"/>
        </w:numPr>
        <w:ind w:left="426"/>
        <w:rPr>
          <w:szCs w:val="20"/>
          <w:lang w:val="en-GB"/>
        </w:rPr>
      </w:pPr>
      <w:r>
        <w:rPr>
          <w:szCs w:val="20"/>
          <w:lang w:val="en-GB"/>
        </w:rPr>
        <w:t>Unless otherwise specified in the SCC, the Procuring Entity shall use its best efforts to ensure that the Government shall facilitate prompt clearance through customs of any property required for the Supply of Goods and of the personal effects of the personnel and provide to the Supplier any such other assistance as may be specified in the SCC.</w:t>
      </w:r>
    </w:p>
    <w:p>
      <w:pPr>
        <w:pStyle w:val="4"/>
        <w:numPr>
          <w:ilvl w:val="0"/>
          <w:numId w:val="5"/>
        </w:numPr>
      </w:pPr>
      <w:bookmarkStart w:id="81" w:name="_Toc21076607"/>
      <w:r>
        <w:t>Change in Applicable Laws</w:t>
      </w:r>
      <w:bookmarkEnd w:id="81"/>
    </w:p>
    <w:p>
      <w:pPr>
        <w:pStyle w:val="28"/>
        <w:numPr>
          <w:ilvl w:val="1"/>
          <w:numId w:val="5"/>
        </w:numPr>
        <w:ind w:left="426"/>
        <w:rPr>
          <w:szCs w:val="20"/>
          <w:lang w:val="en-GB"/>
        </w:rPr>
      </w:pPr>
      <w:r>
        <w:rPr>
          <w:szCs w:val="20"/>
          <w:lang w:val="en-GB"/>
        </w:rPr>
        <w:t>If, after the date of the signature of the Contract, there is any change in Applicable Laws with respect to taxes and duties which increases or decreases the cost incurred by the Supplier in performing the Supply of Goods, then the remuneration and reimbursable expenses otherwise payable to the Supplier under the Contract shall be increased or decreased accordingly by agreement between the Parties.</w:t>
      </w:r>
    </w:p>
    <w:p>
      <w:pPr>
        <w:pStyle w:val="4"/>
        <w:numPr>
          <w:ilvl w:val="0"/>
          <w:numId w:val="5"/>
        </w:numPr>
      </w:pPr>
      <w:bookmarkStart w:id="82" w:name="_Toc21076608"/>
      <w:r>
        <w:t>Supply of Goods, Facilities and Property of the Procuring Entity</w:t>
      </w:r>
      <w:bookmarkEnd w:id="82"/>
    </w:p>
    <w:p>
      <w:pPr>
        <w:pStyle w:val="28"/>
        <w:numPr>
          <w:ilvl w:val="1"/>
          <w:numId w:val="5"/>
        </w:numPr>
        <w:ind w:left="426"/>
        <w:rPr>
          <w:szCs w:val="20"/>
          <w:lang w:val="en-GB"/>
        </w:rPr>
      </w:pPr>
      <w:r>
        <w:rPr>
          <w:szCs w:val="20"/>
          <w:lang w:val="en-GB"/>
        </w:rPr>
        <w:t>If the Supply of Goods and related services require that the Supplier needs to obtain permits, approvals, and import and other licenses or permissions, including access to premises, from local public authorities, the Procuring Entity shall make its best to ensure the Supplier in complying with such requirements in a timely manner.</w:t>
      </w:r>
    </w:p>
    <w:p>
      <w:pPr>
        <w:pStyle w:val="4"/>
        <w:numPr>
          <w:ilvl w:val="0"/>
          <w:numId w:val="5"/>
        </w:numPr>
      </w:pPr>
      <w:bookmarkStart w:id="83" w:name="_Toc21076609"/>
      <w:bookmarkStart w:id="84" w:name="_Ref11851540"/>
      <w:bookmarkStart w:id="85" w:name="_Ref11852882"/>
      <w:r>
        <w:t>Payments</w:t>
      </w:r>
      <w:bookmarkEnd w:id="83"/>
      <w:bookmarkEnd w:id="84"/>
      <w:bookmarkEnd w:id="85"/>
    </w:p>
    <w:p>
      <w:pPr>
        <w:pStyle w:val="28"/>
        <w:numPr>
          <w:ilvl w:val="1"/>
          <w:numId w:val="5"/>
        </w:numPr>
        <w:ind w:left="426"/>
        <w:rPr>
          <w:szCs w:val="20"/>
          <w:lang w:val="en-GB"/>
        </w:rPr>
      </w:pPr>
      <w:r>
        <w:rPr>
          <w:szCs w:val="20"/>
          <w:lang w:val="en-GB"/>
        </w:rPr>
        <w:t xml:space="preserve">In consideration of the Supply of Goods performed by the Supplier under the Contract, the Procuring Entity shall make to the Supplier such payments and in such manner as is provided by part </w:t>
      </w:r>
      <w:r>
        <w:rPr>
          <w:szCs w:val="20"/>
          <w:lang w:val="en-GB"/>
        </w:rPr>
        <w:fldChar w:fldCharType="begin"/>
      </w:r>
      <w:r>
        <w:rPr>
          <w:szCs w:val="20"/>
          <w:lang w:val="en-GB"/>
        </w:rPr>
        <w:instrText xml:space="preserve"> REF _Ref10721040 \r \h  \* MERGEFORMAT </w:instrText>
      </w:r>
      <w:r>
        <w:rPr>
          <w:szCs w:val="20"/>
          <w:lang w:val="en-GB"/>
        </w:rPr>
        <w:fldChar w:fldCharType="separate"/>
      </w:r>
      <w:r>
        <w:rPr>
          <w:szCs w:val="20"/>
          <w:lang w:val="en-GB"/>
        </w:rPr>
        <w:t>V</w:t>
      </w:r>
      <w:r>
        <w:rPr>
          <w:szCs w:val="20"/>
          <w:lang w:val="en-GB"/>
        </w:rPr>
        <w:fldChar w:fldCharType="end"/>
      </w:r>
      <w:r>
        <w:rPr>
          <w:szCs w:val="20"/>
          <w:lang w:val="en-GB"/>
        </w:rPr>
        <w:t xml:space="preserve"> of the GCC of the Contract.</w:t>
      </w:r>
    </w:p>
    <w:p>
      <w:pPr>
        <w:pStyle w:val="28"/>
        <w:numPr>
          <w:ilvl w:val="1"/>
          <w:numId w:val="5"/>
        </w:numPr>
        <w:ind w:left="426"/>
        <w:rPr>
          <w:szCs w:val="20"/>
          <w:lang w:val="en-GB"/>
        </w:rPr>
      </w:pPr>
      <w:r>
        <w:rPr>
          <w:szCs w:val="20"/>
          <w:lang w:val="en-GB"/>
        </w:rPr>
        <w:t xml:space="preserve">If advance payments are agreed by the Parties, the Supplier shall request the advance payment by submitting an original invoice for the agreed amount upon signature of the Contract. </w:t>
      </w:r>
    </w:p>
    <w:p>
      <w:pPr>
        <w:pStyle w:val="28"/>
        <w:numPr>
          <w:ilvl w:val="1"/>
          <w:numId w:val="5"/>
        </w:numPr>
        <w:ind w:left="426"/>
        <w:rPr>
          <w:szCs w:val="20"/>
          <w:lang w:val="en-GB"/>
        </w:rPr>
      </w:pPr>
      <w:r>
        <w:rPr>
          <w:szCs w:val="20"/>
          <w:lang w:val="en-GB"/>
        </w:rPr>
        <w:t xml:space="preserve">If an advance payment is agreed by the Procuring Entity, the payment shall be conditional to the receipt and acceptance by the Procuring Entity of a performance guarantee, unless specifically waived by the Procuring Entity. </w:t>
      </w:r>
    </w:p>
    <w:p>
      <w:pPr>
        <w:pStyle w:val="3"/>
        <w:ind w:left="714" w:hanging="357"/>
        <w:rPr>
          <w:lang w:val="en-GB"/>
        </w:rPr>
      </w:pPr>
      <w:bookmarkStart w:id="86" w:name="_Toc21076610"/>
      <w:bookmarkStart w:id="87" w:name="_Ref10721040"/>
      <w:r>
        <w:rPr>
          <w:lang w:val="en-GB"/>
        </w:rPr>
        <w:t>PAYMENTS TO THE SUPPLIER</w:t>
      </w:r>
      <w:bookmarkEnd w:id="86"/>
      <w:bookmarkEnd w:id="87"/>
    </w:p>
    <w:p>
      <w:pPr>
        <w:pStyle w:val="4"/>
        <w:numPr>
          <w:ilvl w:val="0"/>
          <w:numId w:val="5"/>
        </w:numPr>
      </w:pPr>
      <w:bookmarkStart w:id="88" w:name="_Toc21076611"/>
      <w:r>
        <w:t>Currency</w:t>
      </w:r>
      <w:bookmarkEnd w:id="88"/>
    </w:p>
    <w:p>
      <w:pPr>
        <w:pStyle w:val="28"/>
        <w:numPr>
          <w:ilvl w:val="1"/>
          <w:numId w:val="5"/>
        </w:numPr>
        <w:ind w:left="426"/>
        <w:rPr>
          <w:szCs w:val="20"/>
          <w:lang w:val="en-GB"/>
        </w:rPr>
      </w:pPr>
      <w:r>
        <w:rPr>
          <w:szCs w:val="20"/>
          <w:lang w:val="en-GB"/>
        </w:rPr>
        <w:t xml:space="preserve">Unless otherwise agreed, in line with section </w:t>
      </w:r>
      <w:r>
        <w:rPr>
          <w:szCs w:val="20"/>
          <w:lang w:val="en-GB"/>
        </w:rPr>
        <w:fldChar w:fldCharType="begin"/>
      </w:r>
      <w:r>
        <w:rPr>
          <w:szCs w:val="20"/>
          <w:lang w:val="en-GB"/>
        </w:rPr>
        <w:instrText xml:space="preserve"> REF _Ref10719407 \r \h  \* MERGEFORMAT </w:instrText>
      </w:r>
      <w:r>
        <w:rPr>
          <w:szCs w:val="20"/>
          <w:lang w:val="en-GB"/>
        </w:rPr>
        <w:fldChar w:fldCharType="separate"/>
      </w:r>
      <w:r>
        <w:rPr>
          <w:szCs w:val="20"/>
          <w:lang w:val="en-GB"/>
        </w:rPr>
        <w:t>3</w:t>
      </w:r>
      <w:r>
        <w:rPr>
          <w:szCs w:val="20"/>
          <w:lang w:val="en-GB"/>
        </w:rPr>
        <w:fldChar w:fldCharType="end"/>
      </w:r>
      <w:r>
        <w:rPr>
          <w:szCs w:val="20"/>
          <w:lang w:val="en-GB"/>
        </w:rPr>
        <w:t xml:space="preserve"> of GCC, the payments to the Supplier for the execution of the Contract shall be made in Australian Dollars (AUS or AU$), which is the official currency of Kiribati.</w:t>
      </w:r>
    </w:p>
    <w:p>
      <w:pPr>
        <w:pStyle w:val="4"/>
        <w:numPr>
          <w:ilvl w:val="0"/>
          <w:numId w:val="5"/>
        </w:numPr>
      </w:pPr>
      <w:bookmarkStart w:id="89" w:name="_Toc21076612"/>
      <w:r>
        <w:t>Prices</w:t>
      </w:r>
      <w:bookmarkEnd w:id="89"/>
    </w:p>
    <w:p>
      <w:pPr>
        <w:pStyle w:val="28"/>
        <w:numPr>
          <w:ilvl w:val="1"/>
          <w:numId w:val="5"/>
        </w:numPr>
        <w:ind w:left="426"/>
        <w:rPr>
          <w:szCs w:val="20"/>
          <w:lang w:val="en-GB"/>
        </w:rPr>
      </w:pPr>
      <w:r>
        <w:rPr>
          <w:szCs w:val="20"/>
          <w:lang w:val="en-GB"/>
        </w:rPr>
        <w:t>Prices charged by the Supplier for Goods delivered and Services performed under the Contract shall not vary from the prices quoted by the Supplier in its Tender, with the exception of any price adjustments authorized in the SCC, as the case may be.</w:t>
      </w:r>
    </w:p>
    <w:p>
      <w:pPr>
        <w:pStyle w:val="4"/>
        <w:numPr>
          <w:ilvl w:val="0"/>
          <w:numId w:val="5"/>
        </w:numPr>
      </w:pPr>
      <w:bookmarkStart w:id="90" w:name="_Ref11853478"/>
      <w:bookmarkStart w:id="91" w:name="_Ref11853496"/>
      <w:bookmarkStart w:id="92" w:name="_Ref11853540"/>
      <w:bookmarkStart w:id="93" w:name="_Toc21076613"/>
      <w:bookmarkStart w:id="94" w:name="_Ref11851572"/>
      <w:bookmarkStart w:id="95" w:name="_Ref11853477"/>
      <w:r>
        <w:t>Remuneration and reimbursable expenditures</w:t>
      </w:r>
      <w:bookmarkEnd w:id="90"/>
      <w:bookmarkEnd w:id="91"/>
      <w:bookmarkEnd w:id="92"/>
      <w:bookmarkEnd w:id="93"/>
      <w:bookmarkEnd w:id="94"/>
      <w:bookmarkEnd w:id="95"/>
    </w:p>
    <w:p>
      <w:pPr>
        <w:pStyle w:val="28"/>
        <w:numPr>
          <w:ilvl w:val="1"/>
          <w:numId w:val="5"/>
        </w:numPr>
        <w:ind w:left="426"/>
        <w:rPr>
          <w:szCs w:val="20"/>
          <w:lang w:val="en-GB"/>
        </w:rPr>
      </w:pPr>
      <w:bookmarkStart w:id="96" w:name="_Ref10721761"/>
      <w:r>
        <w:rPr>
          <w:szCs w:val="20"/>
          <w:lang w:val="en-GB"/>
        </w:rPr>
        <w:t xml:space="preserve">The Supplier’s request(s) for payment shall be made to the Procuring Entity in writing, accompanied by an invoice describing, as appropriate, the Goods delivered and Services performed, and by documents submitted pursuant to GCC section </w:t>
      </w:r>
      <w:r>
        <w:rPr>
          <w:szCs w:val="20"/>
          <w:lang w:val="en-GB"/>
        </w:rPr>
        <w:fldChar w:fldCharType="begin"/>
      </w:r>
      <w:r>
        <w:rPr>
          <w:szCs w:val="20"/>
          <w:lang w:val="en-GB"/>
        </w:rPr>
        <w:instrText xml:space="preserve"> REF _Ref12354950 \r \h  \* MERGEFORMAT </w:instrText>
      </w:r>
      <w:r>
        <w:rPr>
          <w:szCs w:val="20"/>
          <w:lang w:val="en-GB"/>
        </w:rPr>
        <w:fldChar w:fldCharType="separate"/>
      </w:r>
      <w:r>
        <w:rPr>
          <w:szCs w:val="20"/>
          <w:lang w:val="en-GB"/>
        </w:rPr>
        <w:t>26</w:t>
      </w:r>
      <w:r>
        <w:rPr>
          <w:szCs w:val="20"/>
          <w:lang w:val="en-GB"/>
        </w:rPr>
        <w:fldChar w:fldCharType="end"/>
      </w:r>
      <w:r>
        <w:rPr>
          <w:szCs w:val="20"/>
          <w:lang w:val="en-GB"/>
        </w:rPr>
        <w:t>, and upon fulfilment of other obligations stipulated in the Contract.</w:t>
      </w:r>
    </w:p>
    <w:p>
      <w:pPr>
        <w:pStyle w:val="28"/>
        <w:numPr>
          <w:ilvl w:val="1"/>
          <w:numId w:val="5"/>
        </w:numPr>
        <w:ind w:left="426"/>
        <w:rPr>
          <w:szCs w:val="20"/>
          <w:lang w:val="en-GB"/>
        </w:rPr>
      </w:pPr>
      <w:r>
        <w:rPr>
          <w:szCs w:val="20"/>
          <w:lang w:val="en-GB"/>
        </w:rPr>
        <w:t>Payments shall be made promptly by the Procuring Entity, but in no case later than thirty (30) days after submission of an invoice or claim by the Supplier.</w:t>
      </w:r>
    </w:p>
    <w:bookmarkEnd w:id="96"/>
    <w:p>
      <w:pPr>
        <w:pStyle w:val="28"/>
        <w:numPr>
          <w:ilvl w:val="1"/>
          <w:numId w:val="5"/>
        </w:numPr>
        <w:ind w:left="426"/>
        <w:rPr>
          <w:szCs w:val="20"/>
          <w:lang w:val="en-GB"/>
        </w:rPr>
      </w:pPr>
      <w:r>
        <w:rPr>
          <w:szCs w:val="20"/>
          <w:lang w:val="en-GB"/>
        </w:rPr>
        <w:t>All payments under the Contract shall be made to the accounts of the Supplier specified in the SCC.</w:t>
      </w:r>
    </w:p>
    <w:p>
      <w:pPr>
        <w:pStyle w:val="4"/>
        <w:numPr>
          <w:ilvl w:val="0"/>
          <w:numId w:val="5"/>
        </w:numPr>
      </w:pPr>
      <w:bookmarkStart w:id="97" w:name="_Toc21076614"/>
      <w:r>
        <w:t>Change orders</w:t>
      </w:r>
      <w:bookmarkEnd w:id="97"/>
    </w:p>
    <w:p>
      <w:pPr>
        <w:pStyle w:val="28"/>
        <w:numPr>
          <w:ilvl w:val="1"/>
          <w:numId w:val="5"/>
        </w:numPr>
        <w:ind w:left="426"/>
        <w:rPr>
          <w:szCs w:val="20"/>
          <w:lang w:val="en-GB"/>
        </w:rPr>
      </w:pPr>
      <w:r>
        <w:rPr>
          <w:szCs w:val="20"/>
          <w:lang w:val="en-GB"/>
        </w:rPr>
        <w:t xml:space="preserve">The Procuring Entity may at any time, by a written order given to the Supplier pursuant to GCC section </w:t>
      </w:r>
      <w:r>
        <w:rPr>
          <w:szCs w:val="20"/>
          <w:lang w:val="en-GB"/>
        </w:rPr>
        <w:fldChar w:fldCharType="begin"/>
      </w:r>
      <w:r>
        <w:rPr>
          <w:szCs w:val="20"/>
          <w:lang w:val="en-GB"/>
        </w:rPr>
        <w:instrText xml:space="preserve"> REF _Ref10823799 \r \h  \* MERGEFORMAT </w:instrText>
      </w:r>
      <w:r>
        <w:rPr>
          <w:szCs w:val="20"/>
          <w:lang w:val="en-GB"/>
        </w:rPr>
        <w:fldChar w:fldCharType="separate"/>
      </w:r>
      <w:r>
        <w:rPr>
          <w:szCs w:val="20"/>
          <w:lang w:val="en-GB"/>
        </w:rPr>
        <w:t>6</w:t>
      </w:r>
      <w:r>
        <w:rPr>
          <w:szCs w:val="20"/>
          <w:lang w:val="en-GB"/>
        </w:rPr>
        <w:fldChar w:fldCharType="end"/>
      </w:r>
      <w:r>
        <w:rPr>
          <w:szCs w:val="20"/>
          <w:lang w:val="en-GB"/>
        </w:rPr>
        <w:t>, make changes within the general scope of the Contract in any one or more of the following:</w:t>
      </w:r>
    </w:p>
    <w:p>
      <w:pPr>
        <w:pStyle w:val="28"/>
        <w:numPr>
          <w:ilvl w:val="0"/>
          <w:numId w:val="11"/>
        </w:numPr>
        <w:rPr>
          <w:szCs w:val="20"/>
          <w:lang w:val="en-GB"/>
        </w:rPr>
      </w:pPr>
      <w:r>
        <w:rPr>
          <w:szCs w:val="20"/>
          <w:lang w:val="en-GB"/>
        </w:rPr>
        <w:t>Drawings, designs, or specifications, where Goods to be furnished under the Contract are to be specifically manufactured for the Procuring Entity;</w:t>
      </w:r>
    </w:p>
    <w:p>
      <w:pPr>
        <w:pStyle w:val="28"/>
        <w:numPr>
          <w:ilvl w:val="0"/>
          <w:numId w:val="11"/>
        </w:numPr>
        <w:rPr>
          <w:szCs w:val="20"/>
          <w:lang w:val="en-GB"/>
        </w:rPr>
      </w:pPr>
      <w:r>
        <w:rPr>
          <w:szCs w:val="20"/>
          <w:lang w:val="en-GB"/>
        </w:rPr>
        <w:t>The method of shipment or packing;</w:t>
      </w:r>
    </w:p>
    <w:p>
      <w:pPr>
        <w:pStyle w:val="28"/>
        <w:numPr>
          <w:ilvl w:val="0"/>
          <w:numId w:val="11"/>
        </w:numPr>
        <w:rPr>
          <w:szCs w:val="20"/>
          <w:lang w:val="en-GB"/>
        </w:rPr>
      </w:pPr>
      <w:r>
        <w:rPr>
          <w:szCs w:val="20"/>
          <w:lang w:val="en-GB"/>
        </w:rPr>
        <w:t>The place of delivery; and/or</w:t>
      </w:r>
    </w:p>
    <w:p>
      <w:pPr>
        <w:pStyle w:val="28"/>
        <w:numPr>
          <w:ilvl w:val="0"/>
          <w:numId w:val="11"/>
        </w:numPr>
        <w:rPr>
          <w:szCs w:val="20"/>
          <w:lang w:val="en-GB"/>
        </w:rPr>
      </w:pPr>
      <w:r>
        <w:rPr>
          <w:szCs w:val="20"/>
          <w:lang w:val="en-GB"/>
        </w:rPr>
        <w:t>The Goods to be provided by the Supplier.</w:t>
      </w:r>
    </w:p>
    <w:p>
      <w:pPr>
        <w:pStyle w:val="28"/>
        <w:numPr>
          <w:ilvl w:val="1"/>
          <w:numId w:val="5"/>
        </w:numPr>
        <w:ind w:left="426"/>
        <w:rPr>
          <w:szCs w:val="20"/>
          <w:lang w:val="en-GB"/>
        </w:rPr>
      </w:pPr>
      <w:r>
        <w:rPr>
          <w:szCs w:val="20"/>
          <w:lang w:val="en-GB"/>
        </w:rPr>
        <w:t>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Procuring Entity’s change order.</w:t>
      </w:r>
    </w:p>
    <w:p>
      <w:pPr>
        <w:pStyle w:val="3"/>
        <w:rPr>
          <w:lang w:val="en-GB"/>
        </w:rPr>
      </w:pPr>
      <w:bookmarkStart w:id="98" w:name="_Toc21076615"/>
      <w:r>
        <w:rPr>
          <w:lang w:val="en-GB"/>
        </w:rPr>
        <w:t>FAIRNESS AND GOOD FAITH</w:t>
      </w:r>
      <w:bookmarkEnd w:id="98"/>
    </w:p>
    <w:p>
      <w:pPr>
        <w:pStyle w:val="4"/>
        <w:numPr>
          <w:ilvl w:val="0"/>
          <w:numId w:val="5"/>
        </w:numPr>
      </w:pPr>
      <w:bookmarkStart w:id="99" w:name="_Toc21076616"/>
      <w:r>
        <w:t>Good Faith</w:t>
      </w:r>
      <w:bookmarkEnd w:id="99"/>
    </w:p>
    <w:p>
      <w:pPr>
        <w:pStyle w:val="28"/>
        <w:numPr>
          <w:ilvl w:val="1"/>
          <w:numId w:val="5"/>
        </w:numPr>
        <w:ind w:left="426"/>
        <w:rPr>
          <w:szCs w:val="20"/>
          <w:lang w:val="en-GB"/>
        </w:rPr>
      </w:pPr>
      <w:r>
        <w:rPr>
          <w:szCs w:val="20"/>
          <w:lang w:val="en-GB"/>
        </w:rPr>
        <w:t>The Parties undertake to act in good faith with respect to each other’s rights under the Contract and to adopt all reasonable measures to ensure the realisation of the objectives of the Contract.</w:t>
      </w:r>
    </w:p>
    <w:p>
      <w:pPr>
        <w:pStyle w:val="4"/>
        <w:numPr>
          <w:ilvl w:val="0"/>
          <w:numId w:val="5"/>
        </w:numPr>
      </w:pPr>
      <w:bookmarkStart w:id="100" w:name="_Toc21076617"/>
      <w:r>
        <w:t>Operation of the Contract</w:t>
      </w:r>
      <w:bookmarkEnd w:id="100"/>
    </w:p>
    <w:p>
      <w:pPr>
        <w:pStyle w:val="28"/>
        <w:numPr>
          <w:ilvl w:val="1"/>
          <w:numId w:val="5"/>
        </w:numPr>
        <w:ind w:left="426"/>
        <w:rPr>
          <w:szCs w:val="20"/>
          <w:lang w:val="en-GB"/>
        </w:rPr>
      </w:pPr>
      <w:r>
        <w:rPr>
          <w:szCs w:val="20"/>
          <w:lang w:val="en-GB"/>
        </w:rPr>
        <w:t xml:space="preserve">The Parties recognize that it is impractical in the Contract to provide for every contingency which may arise during the life of the Contract, and the Parties hereby agree that it is their intention that the Contract shall operate fairly as between them, and without detriment to the interest of either of them, and that, if during the term of the Contract either Party believes that the Contract is operating unfairly, the Parties will use their best efforts to agree on such action as may be necessary to remove the cause or causes of such unfairness, but failure to agree on any action pursuant to this section shall not give rise to a dispute settlement in accordance with part </w:t>
      </w:r>
      <w:r>
        <w:rPr>
          <w:szCs w:val="20"/>
          <w:lang w:val="en-GB"/>
        </w:rPr>
        <w:fldChar w:fldCharType="begin"/>
      </w:r>
      <w:r>
        <w:rPr>
          <w:szCs w:val="20"/>
          <w:lang w:val="en-GB"/>
        </w:rPr>
        <w:instrText xml:space="preserve"> REF _Ref10722759 \r \h  \* MERGEFORMAT </w:instrText>
      </w:r>
      <w:r>
        <w:rPr>
          <w:szCs w:val="20"/>
          <w:lang w:val="en-GB"/>
        </w:rPr>
        <w:fldChar w:fldCharType="separate"/>
      </w:r>
      <w:r>
        <w:rPr>
          <w:szCs w:val="20"/>
          <w:lang w:val="en-GB"/>
        </w:rPr>
        <w:t>VII</w:t>
      </w:r>
      <w:r>
        <w:rPr>
          <w:szCs w:val="20"/>
          <w:lang w:val="en-GB"/>
        </w:rPr>
        <w:fldChar w:fldCharType="end"/>
      </w:r>
      <w:r>
        <w:rPr>
          <w:szCs w:val="20"/>
          <w:lang w:val="en-GB"/>
        </w:rPr>
        <w:t xml:space="preserve"> of GCC.</w:t>
      </w:r>
    </w:p>
    <w:p>
      <w:pPr>
        <w:pStyle w:val="3"/>
        <w:rPr>
          <w:lang w:val="en-GB"/>
        </w:rPr>
      </w:pPr>
      <w:bookmarkStart w:id="101" w:name="_Ref10722759"/>
      <w:bookmarkStart w:id="102" w:name="_Toc21076618"/>
      <w:r>
        <w:rPr>
          <w:lang w:val="en-GB"/>
        </w:rPr>
        <w:t>SETTLEMENT OF DISPUTES</w:t>
      </w:r>
      <w:bookmarkEnd w:id="101"/>
      <w:bookmarkEnd w:id="102"/>
    </w:p>
    <w:p>
      <w:pPr>
        <w:pStyle w:val="4"/>
        <w:numPr>
          <w:ilvl w:val="0"/>
          <w:numId w:val="5"/>
        </w:numPr>
      </w:pPr>
      <w:bookmarkStart w:id="103" w:name="_Ref11851059"/>
      <w:bookmarkStart w:id="104" w:name="_Ref11851132"/>
      <w:bookmarkStart w:id="105" w:name="_Ref11851179"/>
      <w:bookmarkStart w:id="106" w:name="_Toc21076619"/>
      <w:bookmarkStart w:id="107" w:name="_Ref11853166"/>
      <w:bookmarkStart w:id="108" w:name="_Ref11851701"/>
      <w:r>
        <w:t>Amicable Settlement</w:t>
      </w:r>
      <w:bookmarkEnd w:id="103"/>
      <w:bookmarkEnd w:id="104"/>
      <w:bookmarkEnd w:id="105"/>
      <w:bookmarkEnd w:id="106"/>
      <w:bookmarkEnd w:id="107"/>
      <w:bookmarkEnd w:id="108"/>
    </w:p>
    <w:p>
      <w:pPr>
        <w:pStyle w:val="28"/>
        <w:numPr>
          <w:ilvl w:val="1"/>
          <w:numId w:val="5"/>
        </w:numPr>
        <w:ind w:left="426"/>
        <w:rPr>
          <w:szCs w:val="20"/>
          <w:lang w:val="en-GB"/>
        </w:rPr>
      </w:pPr>
      <w:bookmarkStart w:id="109" w:name="_Hlk12288968"/>
      <w:r>
        <w:rPr>
          <w:szCs w:val="20"/>
          <w:lang w:val="en-GB"/>
        </w:rPr>
        <w:t>The Procuring Entity and the Supplier shall make every effort to resolve amicably by direct informal negotiation any disagreement or dispute arising between them under or in connection with the Contract</w:t>
      </w:r>
      <w:bookmarkEnd w:id="109"/>
      <w:r>
        <w:rPr>
          <w:szCs w:val="20"/>
          <w:lang w:val="en-GB"/>
        </w:rPr>
        <w:t>.</w:t>
      </w:r>
    </w:p>
    <w:p>
      <w:pPr>
        <w:pStyle w:val="4"/>
        <w:numPr>
          <w:ilvl w:val="0"/>
          <w:numId w:val="5"/>
        </w:numPr>
      </w:pPr>
      <w:bookmarkStart w:id="110" w:name="_Toc21076620"/>
      <w:r>
        <w:t>Dispute Settlement</w:t>
      </w:r>
      <w:bookmarkEnd w:id="110"/>
    </w:p>
    <w:p>
      <w:pPr>
        <w:pStyle w:val="28"/>
        <w:numPr>
          <w:ilvl w:val="1"/>
          <w:numId w:val="5"/>
        </w:numPr>
        <w:ind w:left="426"/>
        <w:rPr>
          <w:szCs w:val="20"/>
          <w:lang w:val="en-GB"/>
        </w:rPr>
      </w:pPr>
      <w:r>
        <w:rPr>
          <w:szCs w:val="20"/>
          <w:lang w:val="en-GB"/>
        </w:rPr>
        <w:t>If, after thirty (30) days, the Parties have failed to resolve their dispute or difference by such mutual consultation, then either the Procuring Entity or the Supplier may give notice to the other party of its intention to commence a court proceeding.</w:t>
      </w:r>
    </w:p>
    <w:p>
      <w:pPr>
        <w:pStyle w:val="28"/>
        <w:numPr>
          <w:ilvl w:val="1"/>
          <w:numId w:val="5"/>
        </w:numPr>
        <w:ind w:left="426"/>
        <w:rPr>
          <w:szCs w:val="20"/>
          <w:lang w:val="en-GB"/>
        </w:rPr>
      </w:pPr>
      <w:r>
        <w:rPr>
          <w:szCs w:val="20"/>
          <w:lang w:val="en-GB"/>
        </w:rPr>
        <w:t xml:space="preserve">Any dispute arising between the Parties concerning the interpretation and/or execution of the Contract that the Parties fail to solve amicably, in accordance with section GCC </w:t>
      </w:r>
      <w:r>
        <w:rPr>
          <w:szCs w:val="20"/>
          <w:lang w:val="en-GB"/>
        </w:rPr>
        <w:fldChar w:fldCharType="begin"/>
      </w:r>
      <w:r>
        <w:rPr>
          <w:szCs w:val="20"/>
          <w:lang w:val="en-GB"/>
        </w:rPr>
        <w:instrText xml:space="preserve"> REF _Ref11853166 \r \h  \* MERGEFORMAT </w:instrText>
      </w:r>
      <w:r>
        <w:rPr>
          <w:szCs w:val="20"/>
          <w:lang w:val="en-GB"/>
        </w:rPr>
        <w:fldChar w:fldCharType="separate"/>
      </w:r>
      <w:r>
        <w:rPr>
          <w:szCs w:val="20"/>
          <w:lang w:val="en-GB"/>
        </w:rPr>
        <w:t>44</w:t>
      </w:r>
      <w:r>
        <w:rPr>
          <w:szCs w:val="20"/>
          <w:lang w:val="en-GB"/>
        </w:rPr>
        <w:fldChar w:fldCharType="end"/>
      </w:r>
      <w:r>
        <w:rPr>
          <w:szCs w:val="20"/>
          <w:lang w:val="en-GB"/>
        </w:rPr>
        <w:t>, shall be exclusively submitted to the competent court of Kiribati.</w:t>
      </w:r>
    </w:p>
    <w:p>
      <w:pPr>
        <w:pStyle w:val="28"/>
        <w:numPr>
          <w:ilvl w:val="1"/>
          <w:numId w:val="5"/>
        </w:numPr>
        <w:spacing w:before="0"/>
        <w:ind w:left="426"/>
        <w:rPr>
          <w:szCs w:val="20"/>
          <w:lang w:val="en-GB"/>
        </w:rPr>
      </w:pPr>
      <w:r>
        <w:rPr>
          <w:szCs w:val="20"/>
          <w:lang w:val="en-GB"/>
        </w:rPr>
        <w:t>Notwithstanding any reference to the initiation of a court settlement, the Parties shall continue to perform their respective non disputed obligations under the Contract unless they otherwise agree; and the Procuring Entity shall pay the Supplier any non-contested levy due to the Supplier.</w:t>
      </w:r>
    </w:p>
    <w:sectPr>
      <w:headerReference r:id="rId6" w:type="default"/>
      <w:footerReference r:id="rId7" w:type="default"/>
      <w:pgSz w:w="11907" w:h="16839"/>
      <w:pgMar w:top="1276" w:right="1800" w:bottom="1440" w:left="1800" w:header="284" w:footer="720" w:gutter="0"/>
      <w:cols w:space="720" w:num="1"/>
      <w:docGrid w:linePitch="360"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Ereta Turaki" w:date="2020-02-11T13:55:00Z" w:initials="ET">
    <w:p w14:paraId="72D31A30">
      <w:pPr>
        <w:pStyle w:val="14"/>
      </w:pPr>
      <w:r>
        <w:t>Ref to GCC 44</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72D31A3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algun Gothic">
    <w:panose1 w:val="020B0503020000020004"/>
    <w:charset w:val="81"/>
    <w:family w:val="auto"/>
    <w:pitch w:val="default"/>
    <w:sig w:usb0="9000002F" w:usb1="29D77CFB" w:usb2="00000012" w:usb3="00000000" w:csb0="00080001" w:csb1="00000000"/>
  </w:font>
  <w:font w:name="New York">
    <w:altName w:val="Segoe Print"/>
    <w:panose1 w:val="02040503060506020304"/>
    <w:charset w:val="00"/>
    <w:family w:val="roman"/>
    <w:pitch w:val="default"/>
    <w:sig w:usb0="00000000" w:usb1="00000000" w:usb2="00000000" w:usb3="00000000" w:csb0="00000001" w:csb1="00000000"/>
  </w:font>
  <w:font w:name="Lucida Grande">
    <w:altName w:val="Segoe UI"/>
    <w:panose1 w:val="00000000000000000000"/>
    <w:charset w:val="00"/>
    <w:family w:val="auto"/>
    <w:pitch w:val="default"/>
    <w:sig w:usb0="00000000" w:usb1="00000000" w:usb2="00000000" w:usb3="00000000" w:csb0="000001BF" w:csb1="00000000"/>
  </w:font>
  <w:font w:name="Microsoft YaHe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06362617"/>
      <w:docPartObj>
        <w:docPartGallery w:val="AutoText"/>
      </w:docPartObj>
    </w:sdtPr>
    <w:sdtContent>
      <w:p>
        <w:pPr>
          <w:pStyle w:val="16"/>
          <w:jc w:val="right"/>
        </w:pPr>
        <w:r>
          <w:fldChar w:fldCharType="begin"/>
        </w:r>
        <w:r>
          <w:instrText xml:space="preserve">PAGE   \* MERGEFORMAT</w:instrText>
        </w:r>
        <w:r>
          <w:fldChar w:fldCharType="separate"/>
        </w:r>
        <w:r>
          <w:rPr>
            <w:lang w:val="it-IT"/>
          </w:rPr>
          <w:t>2</w:t>
        </w:r>
        <w:r>
          <w:fldChar w:fldCharType="end"/>
        </w:r>
      </w:p>
    </w:sdtContent>
  </w:sdt>
  <w:p>
    <w:pPr>
      <w:pStyle w:val="16"/>
      <w:rPr>
        <w:rFonts w:cs="Times New Roman"/>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pPr>
    <w:r>
      <w:drawing>
        <wp:inline distT="0" distB="0" distL="0" distR="0">
          <wp:extent cx="590550" cy="645795"/>
          <wp:effectExtent l="0" t="0" r="0" b="1905"/>
          <wp:docPr id="2"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0526EC"/>
    <w:multiLevelType w:val="multilevel"/>
    <w:tmpl w:val="0D0526EC"/>
    <w:lvl w:ilvl="0" w:tentative="0">
      <w:start w:val="1"/>
      <w:numFmt w:val="lowerLetter"/>
      <w:lvlText w:val="(%1)"/>
      <w:lvlJc w:val="left"/>
      <w:pPr>
        <w:ind w:left="720" w:hanging="360"/>
      </w:pPr>
      <w:rPr>
        <w:rFonts w:hint="default" w:ascii="Times New Roman" w:hAnsi="Times New Roman"/>
        <w:b w:val="0"/>
        <w:i w:val="0"/>
        <w:sz w:val="20"/>
        <w:szCs w:val="22"/>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2DE9002C"/>
    <w:multiLevelType w:val="multilevel"/>
    <w:tmpl w:val="2DE9002C"/>
    <w:lvl w:ilvl="0" w:tentative="0">
      <w:start w:val="1"/>
      <w:numFmt w:val="decimal"/>
      <w:pStyle w:val="28"/>
      <w:lvlText w:val="%1."/>
      <w:lvlJc w:val="left"/>
      <w:pPr>
        <w:ind w:left="1440" w:hanging="360"/>
      </w:pPr>
    </w:lvl>
    <w:lvl w:ilvl="1" w:tentative="0">
      <w:start w:val="1"/>
      <w:numFmt w:val="lowerLetter"/>
      <w:lvlText w:val="%2."/>
      <w:lvlJc w:val="left"/>
      <w:pPr>
        <w:ind w:left="2160" w:hanging="360"/>
      </w:p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abstractNum w:abstractNumId="2">
    <w:nsid w:val="30916FD3"/>
    <w:multiLevelType w:val="multilevel"/>
    <w:tmpl w:val="30916FD3"/>
    <w:lvl w:ilvl="0" w:tentative="0">
      <w:start w:val="1"/>
      <w:numFmt w:val="decimal"/>
      <w:lvlText w:val="%1."/>
      <w:lvlJc w:val="left"/>
      <w:pPr>
        <w:ind w:left="360" w:hanging="360"/>
      </w:pPr>
      <w:rPr>
        <w:rFonts w:hint="default"/>
      </w:rPr>
    </w:lvl>
    <w:lvl w:ilvl="1" w:tentative="0">
      <w:start w:val="1"/>
      <w:numFmt w:val="lowerLetter"/>
      <w:lvlText w:val="(%2)"/>
      <w:lvlJc w:val="left"/>
      <w:pPr>
        <w:ind w:left="792" w:hanging="432"/>
      </w:pPr>
      <w:rPr>
        <w:rFonts w:hint="default" w:ascii="Times New Roman" w:hAnsi="Times New Roman" w:cs="Times New Roman"/>
        <w:b w:val="0"/>
        <w:i w:val="0"/>
        <w:sz w:val="20"/>
        <w:szCs w:val="20"/>
      </w:rPr>
    </w:lvl>
    <w:lvl w:ilvl="2" w:tentative="0">
      <w:start w:val="1"/>
      <w:numFmt w:val="decimal"/>
      <w:lvlText w:val="%1.%2.%3."/>
      <w:lvlJc w:val="left"/>
      <w:pPr>
        <w:ind w:left="1224" w:hanging="504"/>
      </w:pPr>
      <w:rPr>
        <w:rFonts w:hint="default"/>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3">
    <w:nsid w:val="3AAF0542"/>
    <w:multiLevelType w:val="multilevel"/>
    <w:tmpl w:val="3AAF0542"/>
    <w:lvl w:ilvl="0" w:tentative="0">
      <w:start w:val="1"/>
      <w:numFmt w:val="lowerLetter"/>
      <w:lvlText w:val="(%1)"/>
      <w:lvlJc w:val="left"/>
      <w:pPr>
        <w:ind w:left="720" w:hanging="360"/>
      </w:pPr>
      <w:rPr>
        <w:rFonts w:hint="default" w:ascii="Times New Roman" w:hAnsi="Times New Roman"/>
        <w:b w:val="0"/>
        <w:i w:val="0"/>
        <w:sz w:val="20"/>
        <w:szCs w:val="22"/>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3E101CCC"/>
    <w:multiLevelType w:val="multilevel"/>
    <w:tmpl w:val="3E101CCC"/>
    <w:lvl w:ilvl="0" w:tentative="0">
      <w:start w:val="1"/>
      <w:numFmt w:val="decimal"/>
      <w:pStyle w:val="33"/>
      <w:lvlText w:val="%1."/>
      <w:lvlJc w:val="left"/>
      <w:pPr>
        <w:tabs>
          <w:tab w:val="left" w:pos="1440"/>
        </w:tabs>
        <w:ind w:firstLine="720"/>
      </w:pPr>
      <w:rPr>
        <w:rFonts w:ascii="Times New Roman" w:hAnsi="Times New Roman" w:cs="Times New Roman"/>
        <w:b w:val="0"/>
        <w:bCs w:val="0"/>
        <w:i w:val="0"/>
        <w:iCs w:val="0"/>
        <w:caps w:val="0"/>
        <w:strike w:val="0"/>
        <w:dstrike w:val="0"/>
        <w:vanish w:val="0"/>
        <w:color w:val="auto"/>
        <w:sz w:val="24"/>
        <w:szCs w:val="24"/>
        <w:u w:val="none"/>
        <w:vertAlign w:val="baseline"/>
      </w:rPr>
    </w:lvl>
    <w:lvl w:ilvl="1" w:tentative="0">
      <w:start w:val="1"/>
      <w:numFmt w:val="lowerLetter"/>
      <w:pStyle w:val="34"/>
      <w:lvlText w:val="(%2)"/>
      <w:lvlJc w:val="left"/>
      <w:pPr>
        <w:tabs>
          <w:tab w:val="left" w:pos="1713"/>
        </w:tabs>
        <w:ind w:left="-447" w:firstLine="1440"/>
      </w:pPr>
      <w:rPr>
        <w:rFonts w:hint="default" w:ascii="Calibri" w:hAnsi="Calibri" w:cs="Wingdings"/>
        <w:b w:val="0"/>
        <w:bCs w:val="0"/>
        <w:i w:val="0"/>
        <w:iCs w:val="0"/>
        <w:caps w:val="0"/>
        <w:strike w:val="0"/>
        <w:dstrike w:val="0"/>
        <w:vanish w:val="0"/>
        <w:color w:val="auto"/>
        <w:sz w:val="22"/>
        <w:szCs w:val="22"/>
        <w:u w:val="none"/>
        <w:vertAlign w:val="baseline"/>
      </w:rPr>
    </w:lvl>
    <w:lvl w:ilvl="2" w:tentative="0">
      <w:start w:val="1"/>
      <w:numFmt w:val="lowerRoman"/>
      <w:pStyle w:val="35"/>
      <w:lvlText w:val="(%3)"/>
      <w:lvlJc w:val="left"/>
      <w:pPr>
        <w:tabs>
          <w:tab w:val="left" w:pos="2880"/>
        </w:tabs>
        <w:ind w:firstLine="2160"/>
      </w:pPr>
      <w:rPr>
        <w:rFonts w:ascii="Times New Roman" w:hAnsi="Times New Roman" w:cs="Times New Roman"/>
        <w:b w:val="0"/>
        <w:bCs w:val="0"/>
        <w:i w:val="0"/>
        <w:iCs w:val="0"/>
        <w:caps w:val="0"/>
        <w:strike w:val="0"/>
        <w:dstrike w:val="0"/>
        <w:vanish w:val="0"/>
        <w:color w:val="auto"/>
        <w:sz w:val="24"/>
        <w:szCs w:val="24"/>
        <w:u w:val="none"/>
        <w:vertAlign w:val="baseline"/>
      </w:rPr>
    </w:lvl>
    <w:lvl w:ilvl="3" w:tentative="0">
      <w:start w:val="1"/>
      <w:numFmt w:val="decimal"/>
      <w:pStyle w:val="36"/>
      <w:lvlText w:val="(%4)"/>
      <w:lvlJc w:val="left"/>
      <w:pPr>
        <w:tabs>
          <w:tab w:val="left" w:pos="3600"/>
        </w:tabs>
        <w:ind w:firstLine="2880"/>
      </w:pPr>
      <w:rPr>
        <w:rFonts w:ascii="Times New Roman" w:hAnsi="Times New Roman" w:cs="Times New Roman"/>
        <w:b w:val="0"/>
        <w:bCs w:val="0"/>
        <w:i w:val="0"/>
        <w:iCs w:val="0"/>
        <w:caps w:val="0"/>
        <w:strike w:val="0"/>
        <w:dstrike w:val="0"/>
        <w:vanish w:val="0"/>
        <w:color w:val="auto"/>
        <w:sz w:val="24"/>
        <w:szCs w:val="24"/>
        <w:u w:val="none"/>
        <w:vertAlign w:val="baseline"/>
      </w:rPr>
    </w:lvl>
    <w:lvl w:ilvl="4" w:tentative="0">
      <w:start w:val="1"/>
      <w:numFmt w:val="lowerLetter"/>
      <w:pStyle w:val="37"/>
      <w:lvlText w:val="%5."/>
      <w:lvlJc w:val="left"/>
      <w:pPr>
        <w:tabs>
          <w:tab w:val="left" w:pos="4320"/>
        </w:tabs>
        <w:ind w:firstLine="3600"/>
      </w:pPr>
      <w:rPr>
        <w:rFonts w:ascii="Times New Roman" w:hAnsi="Times New Roman" w:cs="Times New Roman"/>
        <w:b w:val="0"/>
        <w:bCs w:val="0"/>
        <w:i w:val="0"/>
        <w:iCs w:val="0"/>
        <w:caps w:val="0"/>
        <w:strike w:val="0"/>
        <w:dstrike w:val="0"/>
        <w:vanish w:val="0"/>
        <w:color w:val="auto"/>
        <w:sz w:val="24"/>
        <w:szCs w:val="24"/>
        <w:u w:val="none"/>
        <w:vertAlign w:val="baseline"/>
      </w:rPr>
    </w:lvl>
    <w:lvl w:ilvl="5" w:tentative="0">
      <w:start w:val="1"/>
      <w:numFmt w:val="lowerRoman"/>
      <w:pStyle w:val="38"/>
      <w:lvlText w:val="%6."/>
      <w:lvlJc w:val="left"/>
      <w:pPr>
        <w:tabs>
          <w:tab w:val="left" w:pos="5040"/>
        </w:tabs>
        <w:ind w:firstLine="4320"/>
      </w:pPr>
      <w:rPr>
        <w:rFonts w:ascii="Times New Roman" w:hAnsi="Times New Roman" w:cs="Times New Roman"/>
        <w:b w:val="0"/>
        <w:bCs w:val="0"/>
        <w:i w:val="0"/>
        <w:iCs w:val="0"/>
        <w:caps w:val="0"/>
        <w:strike w:val="0"/>
        <w:dstrike w:val="0"/>
        <w:vanish w:val="0"/>
        <w:color w:val="auto"/>
        <w:sz w:val="24"/>
        <w:szCs w:val="24"/>
        <w:u w:val="none"/>
        <w:vertAlign w:val="baseline"/>
      </w:rPr>
    </w:lvl>
    <w:lvl w:ilvl="6" w:tentative="0">
      <w:start w:val="1"/>
      <w:numFmt w:val="decimal"/>
      <w:pStyle w:val="39"/>
      <w:lvlText w:val="%7)"/>
      <w:lvlJc w:val="left"/>
      <w:pPr>
        <w:tabs>
          <w:tab w:val="left" w:pos="5760"/>
        </w:tabs>
        <w:ind w:firstLine="5040"/>
      </w:pPr>
      <w:rPr>
        <w:rFonts w:ascii="Times New Roman" w:hAnsi="Times New Roman" w:cs="Times New Roman"/>
        <w:b w:val="0"/>
        <w:bCs w:val="0"/>
        <w:i w:val="0"/>
        <w:iCs w:val="0"/>
        <w:caps w:val="0"/>
        <w:strike w:val="0"/>
        <w:dstrike w:val="0"/>
        <w:vanish w:val="0"/>
        <w:color w:val="auto"/>
        <w:sz w:val="24"/>
        <w:szCs w:val="24"/>
        <w:u w:val="none"/>
        <w:vertAlign w:val="baseline"/>
      </w:rPr>
    </w:lvl>
    <w:lvl w:ilvl="7" w:tentative="0">
      <w:start w:val="1"/>
      <w:numFmt w:val="lowerLetter"/>
      <w:pStyle w:val="40"/>
      <w:lvlText w:val="%8)"/>
      <w:lvlJc w:val="left"/>
      <w:pPr>
        <w:tabs>
          <w:tab w:val="left" w:pos="6480"/>
        </w:tabs>
        <w:ind w:firstLine="5760"/>
      </w:pPr>
      <w:rPr>
        <w:rFonts w:ascii="Times New Roman" w:hAnsi="Times New Roman" w:cs="Times New Roman"/>
        <w:b w:val="0"/>
        <w:bCs w:val="0"/>
        <w:i w:val="0"/>
        <w:iCs w:val="0"/>
        <w:caps w:val="0"/>
        <w:strike w:val="0"/>
        <w:dstrike w:val="0"/>
        <w:vanish w:val="0"/>
        <w:color w:val="auto"/>
        <w:sz w:val="24"/>
        <w:szCs w:val="24"/>
        <w:u w:val="none"/>
        <w:vertAlign w:val="baseline"/>
      </w:rPr>
    </w:lvl>
    <w:lvl w:ilvl="8" w:tentative="0">
      <w:start w:val="1"/>
      <w:numFmt w:val="lowerRoman"/>
      <w:pStyle w:val="41"/>
      <w:lvlText w:val="%9)"/>
      <w:lvlJc w:val="left"/>
      <w:pPr>
        <w:tabs>
          <w:tab w:val="left" w:pos="7200"/>
        </w:tabs>
        <w:ind w:firstLine="6480"/>
      </w:pPr>
      <w:rPr>
        <w:rFonts w:ascii="Times New Roman" w:hAnsi="Times New Roman" w:cs="Times New Roman"/>
        <w:b w:val="0"/>
        <w:bCs w:val="0"/>
        <w:i w:val="0"/>
        <w:iCs w:val="0"/>
        <w:caps w:val="0"/>
        <w:strike w:val="0"/>
        <w:dstrike w:val="0"/>
        <w:vanish w:val="0"/>
        <w:color w:val="auto"/>
        <w:sz w:val="24"/>
        <w:szCs w:val="24"/>
        <w:u w:val="none"/>
        <w:vertAlign w:val="baseline"/>
      </w:rPr>
    </w:lvl>
  </w:abstractNum>
  <w:abstractNum w:abstractNumId="5">
    <w:nsid w:val="3ED10A5F"/>
    <w:multiLevelType w:val="multilevel"/>
    <w:tmpl w:val="3ED10A5F"/>
    <w:lvl w:ilvl="0" w:tentative="0">
      <w:start w:val="1"/>
      <w:numFmt w:val="decimal"/>
      <w:pStyle w:val="52"/>
      <w:isLgl/>
      <w:lvlText w:val="%1."/>
      <w:lvlJc w:val="left"/>
      <w:pPr>
        <w:tabs>
          <w:tab w:val="left" w:pos="432"/>
        </w:tabs>
        <w:ind w:left="432" w:hanging="432"/>
      </w:pPr>
      <w:rPr>
        <w:b/>
        <w:i w:val="0"/>
        <w:sz w:val="20"/>
        <w:szCs w:val="20"/>
      </w:rPr>
    </w:lvl>
    <w:lvl w:ilvl="1" w:tentative="0">
      <w:start w:val="1"/>
      <w:numFmt w:val="decimal"/>
      <w:pStyle w:val="54"/>
      <w:lvlText w:val="%1.%2"/>
      <w:lvlJc w:val="left"/>
      <w:pPr>
        <w:tabs>
          <w:tab w:val="left" w:pos="504"/>
        </w:tabs>
        <w:ind w:left="504" w:hanging="504"/>
      </w:pPr>
      <w:rPr>
        <w:rFonts w:hint="default" w:ascii="Arial" w:hAnsi="Arial" w:cs="Arial"/>
        <w:b w:val="0"/>
        <w:i w:val="0"/>
        <w:sz w:val="20"/>
        <w:szCs w:val="20"/>
      </w:rPr>
    </w:lvl>
    <w:lvl w:ilvl="2" w:tentative="0">
      <w:start w:val="1"/>
      <w:numFmt w:val="lowerLetter"/>
      <w:pStyle w:val="55"/>
      <w:lvlText w:val="(%3)"/>
      <w:lvlJc w:val="left"/>
      <w:pPr>
        <w:tabs>
          <w:tab w:val="left" w:pos="864"/>
        </w:tabs>
        <w:ind w:left="864" w:hanging="432"/>
      </w:pPr>
      <w:rPr>
        <w:rFonts w:hint="default" w:ascii="Arial" w:hAnsi="Arial" w:cs="Arial"/>
        <w:b w:val="0"/>
        <w:i w:val="0"/>
        <w:sz w:val="20"/>
        <w:szCs w:val="20"/>
      </w:rPr>
    </w:lvl>
    <w:lvl w:ilvl="3" w:tentative="0">
      <w:start w:val="1"/>
      <w:numFmt w:val="lowerRoman"/>
      <w:pStyle w:val="5"/>
      <w:lvlText w:val="(%4)"/>
      <w:lvlJc w:val="left"/>
      <w:pPr>
        <w:tabs>
          <w:tab w:val="left" w:pos="1512"/>
        </w:tabs>
        <w:ind w:left="1512" w:hanging="648"/>
      </w:pPr>
      <w:rPr>
        <w:rFonts w:hint="default" w:ascii="Arial" w:hAnsi="Arial" w:cs="Arial"/>
        <w:b w:val="0"/>
        <w:i w:val="0"/>
        <w:sz w:val="20"/>
        <w:szCs w:val="20"/>
      </w:rPr>
    </w:lvl>
    <w:lvl w:ilvl="4" w:tentative="0">
      <w:start w:val="1"/>
      <w:numFmt w:val="decimal"/>
      <w:lvlText w:val="%1.%2.%3.%4.%5"/>
      <w:lvlJc w:val="left"/>
      <w:pPr>
        <w:tabs>
          <w:tab w:val="left" w:pos="1008"/>
        </w:tabs>
        <w:ind w:left="1008" w:hanging="1008"/>
      </w:pPr>
    </w:lvl>
    <w:lvl w:ilvl="5" w:tentative="0">
      <w:start w:val="1"/>
      <w:numFmt w:val="decimal"/>
      <w:pStyle w:val="6"/>
      <w:lvlText w:val="%1.%2.%3.%4.%5.%6"/>
      <w:lvlJc w:val="left"/>
      <w:pPr>
        <w:tabs>
          <w:tab w:val="left" w:pos="1152"/>
        </w:tabs>
        <w:ind w:left="1152" w:hanging="1152"/>
      </w:pPr>
    </w:lvl>
    <w:lvl w:ilvl="6" w:tentative="0">
      <w:start w:val="1"/>
      <w:numFmt w:val="decimal"/>
      <w:pStyle w:val="7"/>
      <w:lvlText w:val="%1.%2.%3.%4.%5.%6.%7"/>
      <w:lvlJc w:val="left"/>
      <w:pPr>
        <w:tabs>
          <w:tab w:val="left" w:pos="1296"/>
        </w:tabs>
        <w:ind w:left="1296" w:hanging="1296"/>
      </w:pPr>
    </w:lvl>
    <w:lvl w:ilvl="7" w:tentative="0">
      <w:start w:val="1"/>
      <w:numFmt w:val="decimal"/>
      <w:pStyle w:val="8"/>
      <w:lvlText w:val="%1.%2.%3.%4.%5.%6.%7.%8"/>
      <w:lvlJc w:val="left"/>
      <w:pPr>
        <w:tabs>
          <w:tab w:val="left" w:pos="1440"/>
        </w:tabs>
        <w:ind w:left="1440" w:hanging="1440"/>
      </w:pPr>
    </w:lvl>
    <w:lvl w:ilvl="8" w:tentative="0">
      <w:start w:val="1"/>
      <w:numFmt w:val="decimal"/>
      <w:pStyle w:val="9"/>
      <w:lvlText w:val="%1.%2.%3.%4.%5.%6.%7.%8.%9"/>
      <w:lvlJc w:val="left"/>
      <w:pPr>
        <w:tabs>
          <w:tab w:val="left" w:pos="1584"/>
        </w:tabs>
        <w:ind w:left="1584" w:hanging="1584"/>
      </w:pPr>
    </w:lvl>
  </w:abstractNum>
  <w:abstractNum w:abstractNumId="6">
    <w:nsid w:val="41232CFB"/>
    <w:multiLevelType w:val="multilevel"/>
    <w:tmpl w:val="41232CFB"/>
    <w:lvl w:ilvl="0" w:tentative="0">
      <w:start w:val="1"/>
      <w:numFmt w:val="lowerLetter"/>
      <w:lvlText w:val="(%1)"/>
      <w:lvlJc w:val="left"/>
      <w:pPr>
        <w:ind w:left="720" w:hanging="360"/>
      </w:pPr>
      <w:rPr>
        <w:rFonts w:hint="default" w:ascii="Times New Roman" w:hAnsi="Times New Roman"/>
        <w:b w:val="0"/>
        <w:i w:val="0"/>
        <w:sz w:val="20"/>
        <w:szCs w:val="22"/>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4E7643B2"/>
    <w:multiLevelType w:val="multilevel"/>
    <w:tmpl w:val="4E7643B2"/>
    <w:lvl w:ilvl="0" w:tentative="0">
      <w:start w:val="1"/>
      <w:numFmt w:val="decimal"/>
      <w:lvlText w:val="%1."/>
      <w:lvlJc w:val="left"/>
      <w:pPr>
        <w:ind w:left="360" w:hanging="360"/>
      </w:pPr>
      <w:rPr>
        <w:lang w:val="en-GB"/>
      </w:rPr>
    </w:lvl>
    <w:lvl w:ilvl="1" w:tentative="0">
      <w:start w:val="1"/>
      <w:numFmt w:val="decimal"/>
      <w:lvlText w:val="%1.%2."/>
      <w:lvlJc w:val="left"/>
      <w:pPr>
        <w:ind w:left="792" w:hanging="432"/>
      </w:pPr>
    </w:lvl>
    <w:lvl w:ilvl="2" w:tentative="0">
      <w:start w:val="1"/>
      <w:numFmt w:val="decimal"/>
      <w:lvlText w:val="%1.%2.%3."/>
      <w:lvlJc w:val="left"/>
      <w:pPr>
        <w:ind w:left="1224" w:hanging="504"/>
      </w:p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8">
    <w:nsid w:val="65FC52CA"/>
    <w:multiLevelType w:val="multilevel"/>
    <w:tmpl w:val="65FC52CA"/>
    <w:lvl w:ilvl="0" w:tentative="0">
      <w:start w:val="1"/>
      <w:numFmt w:val="upperRoman"/>
      <w:pStyle w:val="3"/>
      <w:lvlText w:val="%1."/>
      <w:lvlJc w:val="righ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9">
    <w:nsid w:val="6AE11753"/>
    <w:multiLevelType w:val="multilevel"/>
    <w:tmpl w:val="6AE11753"/>
    <w:lvl w:ilvl="0" w:tentative="0">
      <w:start w:val="1"/>
      <w:numFmt w:val="lowerLetter"/>
      <w:lvlText w:val="(%1)"/>
      <w:lvlJc w:val="left"/>
      <w:pPr>
        <w:ind w:left="720" w:hanging="360"/>
      </w:pPr>
      <w:rPr>
        <w:rFonts w:hint="default" w:ascii="Times New Roman" w:hAnsi="Times New Roman"/>
        <w:b w:val="0"/>
        <w:i w:val="0"/>
        <w:sz w:val="20"/>
        <w:szCs w:val="22"/>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0">
    <w:nsid w:val="70152693"/>
    <w:multiLevelType w:val="multilevel"/>
    <w:tmpl w:val="70152693"/>
    <w:lvl w:ilvl="0" w:tentative="0">
      <w:start w:val="1"/>
      <w:numFmt w:val="lowerLetter"/>
      <w:lvlText w:val="(%1)"/>
      <w:lvlJc w:val="left"/>
      <w:pPr>
        <w:ind w:left="720" w:hanging="360"/>
      </w:pPr>
      <w:rPr>
        <w:rFonts w:hint="default" w:ascii="Times New Roman" w:hAnsi="Times New Roman"/>
        <w:b w:val="0"/>
        <w:i w:val="0"/>
        <w:sz w:val="20"/>
        <w:szCs w:val="22"/>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8"/>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7"/>
  </w:num>
  <w:num w:numId="6">
    <w:abstractNumId w:val="0"/>
  </w:num>
  <w:num w:numId="7">
    <w:abstractNumId w:val="9"/>
  </w:num>
  <w:num w:numId="8">
    <w:abstractNumId w:val="6"/>
  </w:num>
  <w:num w:numId="9">
    <w:abstractNumId w:val="10"/>
  </w:num>
  <w:num w:numId="10">
    <w:abstractNumId w:val="2"/>
  </w:num>
  <w:num w:numId="11">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Ereta Turaki">
    <w15:presenceInfo w15:providerId="AD" w15:userId="S-1-5-21-3200574132-4217516358-3319837528-11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720"/>
  <w:hyphenationZone w:val="283"/>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444"/>
    <w:rsid w:val="00007B40"/>
    <w:rsid w:val="00011895"/>
    <w:rsid w:val="000133E8"/>
    <w:rsid w:val="00014CBE"/>
    <w:rsid w:val="0001706F"/>
    <w:rsid w:val="00017AFE"/>
    <w:rsid w:val="00017FF3"/>
    <w:rsid w:val="00023FCC"/>
    <w:rsid w:val="00040AD6"/>
    <w:rsid w:val="000429E2"/>
    <w:rsid w:val="00044FD9"/>
    <w:rsid w:val="000545B0"/>
    <w:rsid w:val="00064BB7"/>
    <w:rsid w:val="00066C77"/>
    <w:rsid w:val="00071BEB"/>
    <w:rsid w:val="0008062B"/>
    <w:rsid w:val="000806DA"/>
    <w:rsid w:val="00085CB4"/>
    <w:rsid w:val="0009076B"/>
    <w:rsid w:val="00095D99"/>
    <w:rsid w:val="000A43ED"/>
    <w:rsid w:val="000B554A"/>
    <w:rsid w:val="000B7156"/>
    <w:rsid w:val="000C13E7"/>
    <w:rsid w:val="000C1D6A"/>
    <w:rsid w:val="000D05D3"/>
    <w:rsid w:val="000D2386"/>
    <w:rsid w:val="000E566C"/>
    <w:rsid w:val="000E6AAD"/>
    <w:rsid w:val="000E6CEE"/>
    <w:rsid w:val="000F764A"/>
    <w:rsid w:val="00100292"/>
    <w:rsid w:val="00103FDB"/>
    <w:rsid w:val="00107796"/>
    <w:rsid w:val="00110D11"/>
    <w:rsid w:val="00113960"/>
    <w:rsid w:val="00116D31"/>
    <w:rsid w:val="001244A0"/>
    <w:rsid w:val="001245C5"/>
    <w:rsid w:val="00131709"/>
    <w:rsid w:val="0015173B"/>
    <w:rsid w:val="0015599B"/>
    <w:rsid w:val="00182457"/>
    <w:rsid w:val="001926DE"/>
    <w:rsid w:val="001A3AB1"/>
    <w:rsid w:val="001C0282"/>
    <w:rsid w:val="001E16A6"/>
    <w:rsid w:val="001F357E"/>
    <w:rsid w:val="001F443D"/>
    <w:rsid w:val="001F5D1B"/>
    <w:rsid w:val="001F757D"/>
    <w:rsid w:val="00222EAB"/>
    <w:rsid w:val="002357D6"/>
    <w:rsid w:val="0024178A"/>
    <w:rsid w:val="002429CC"/>
    <w:rsid w:val="00243F61"/>
    <w:rsid w:val="00274F75"/>
    <w:rsid w:val="00275D5D"/>
    <w:rsid w:val="0028239B"/>
    <w:rsid w:val="002948C4"/>
    <w:rsid w:val="00294FF9"/>
    <w:rsid w:val="002A0FDF"/>
    <w:rsid w:val="002A2BB3"/>
    <w:rsid w:val="002A2D3D"/>
    <w:rsid w:val="002A56BC"/>
    <w:rsid w:val="002B5B56"/>
    <w:rsid w:val="002E21CE"/>
    <w:rsid w:val="002E69B3"/>
    <w:rsid w:val="002F0DA0"/>
    <w:rsid w:val="002F2DAD"/>
    <w:rsid w:val="002F2F74"/>
    <w:rsid w:val="0030103A"/>
    <w:rsid w:val="003036BB"/>
    <w:rsid w:val="00311A3A"/>
    <w:rsid w:val="00312A52"/>
    <w:rsid w:val="00314AF1"/>
    <w:rsid w:val="00322E3D"/>
    <w:rsid w:val="0032537E"/>
    <w:rsid w:val="00340B4A"/>
    <w:rsid w:val="00341719"/>
    <w:rsid w:val="00352A0F"/>
    <w:rsid w:val="00363444"/>
    <w:rsid w:val="00364B73"/>
    <w:rsid w:val="0037486D"/>
    <w:rsid w:val="00376ABD"/>
    <w:rsid w:val="00380CD5"/>
    <w:rsid w:val="00383298"/>
    <w:rsid w:val="003841AD"/>
    <w:rsid w:val="00393080"/>
    <w:rsid w:val="00394F6E"/>
    <w:rsid w:val="003A01BA"/>
    <w:rsid w:val="003A075E"/>
    <w:rsid w:val="003B6B49"/>
    <w:rsid w:val="003C26DE"/>
    <w:rsid w:val="003C4201"/>
    <w:rsid w:val="003C52F2"/>
    <w:rsid w:val="003D40B5"/>
    <w:rsid w:val="003D6C2D"/>
    <w:rsid w:val="003D76A4"/>
    <w:rsid w:val="003F458D"/>
    <w:rsid w:val="003F59E2"/>
    <w:rsid w:val="003F6C89"/>
    <w:rsid w:val="00404012"/>
    <w:rsid w:val="00415841"/>
    <w:rsid w:val="00425546"/>
    <w:rsid w:val="0043741C"/>
    <w:rsid w:val="00443C52"/>
    <w:rsid w:val="004546FF"/>
    <w:rsid w:val="0046350D"/>
    <w:rsid w:val="00464977"/>
    <w:rsid w:val="00471E29"/>
    <w:rsid w:val="004725DF"/>
    <w:rsid w:val="004726E3"/>
    <w:rsid w:val="00472BE4"/>
    <w:rsid w:val="0048535B"/>
    <w:rsid w:val="004977E0"/>
    <w:rsid w:val="004A36DD"/>
    <w:rsid w:val="004C0789"/>
    <w:rsid w:val="004D2A49"/>
    <w:rsid w:val="004E07D9"/>
    <w:rsid w:val="004E0ED4"/>
    <w:rsid w:val="005065AC"/>
    <w:rsid w:val="00507F88"/>
    <w:rsid w:val="00512581"/>
    <w:rsid w:val="00517A42"/>
    <w:rsid w:val="00523B7D"/>
    <w:rsid w:val="0052574B"/>
    <w:rsid w:val="00533A51"/>
    <w:rsid w:val="0056031D"/>
    <w:rsid w:val="0056210B"/>
    <w:rsid w:val="005633A2"/>
    <w:rsid w:val="00567A84"/>
    <w:rsid w:val="005722F4"/>
    <w:rsid w:val="00573CA7"/>
    <w:rsid w:val="00574F76"/>
    <w:rsid w:val="005842D1"/>
    <w:rsid w:val="005A4945"/>
    <w:rsid w:val="005B11E0"/>
    <w:rsid w:val="005B14DA"/>
    <w:rsid w:val="005B6AB1"/>
    <w:rsid w:val="005C3C47"/>
    <w:rsid w:val="005F476D"/>
    <w:rsid w:val="0061395A"/>
    <w:rsid w:val="006141F0"/>
    <w:rsid w:val="00616463"/>
    <w:rsid w:val="006202D6"/>
    <w:rsid w:val="006214CB"/>
    <w:rsid w:val="00621DD3"/>
    <w:rsid w:val="00623E30"/>
    <w:rsid w:val="0063534B"/>
    <w:rsid w:val="00635C27"/>
    <w:rsid w:val="00637C0C"/>
    <w:rsid w:val="00641C35"/>
    <w:rsid w:val="00642E00"/>
    <w:rsid w:val="00643C53"/>
    <w:rsid w:val="00644AC6"/>
    <w:rsid w:val="00646A10"/>
    <w:rsid w:val="00650163"/>
    <w:rsid w:val="00650C24"/>
    <w:rsid w:val="0066138F"/>
    <w:rsid w:val="0066645E"/>
    <w:rsid w:val="0067295E"/>
    <w:rsid w:val="00673F51"/>
    <w:rsid w:val="00675232"/>
    <w:rsid w:val="00676E67"/>
    <w:rsid w:val="00684CC3"/>
    <w:rsid w:val="006957B7"/>
    <w:rsid w:val="006A1B96"/>
    <w:rsid w:val="006B1AFB"/>
    <w:rsid w:val="006B3104"/>
    <w:rsid w:val="006B3D99"/>
    <w:rsid w:val="006B7964"/>
    <w:rsid w:val="006C3431"/>
    <w:rsid w:val="006D253A"/>
    <w:rsid w:val="006E0337"/>
    <w:rsid w:val="006F710B"/>
    <w:rsid w:val="007062BA"/>
    <w:rsid w:val="00710F24"/>
    <w:rsid w:val="00712B54"/>
    <w:rsid w:val="00714682"/>
    <w:rsid w:val="00720677"/>
    <w:rsid w:val="0073566C"/>
    <w:rsid w:val="0074384A"/>
    <w:rsid w:val="007518CC"/>
    <w:rsid w:val="0075320E"/>
    <w:rsid w:val="0075430F"/>
    <w:rsid w:val="00756E23"/>
    <w:rsid w:val="00756E30"/>
    <w:rsid w:val="007606B6"/>
    <w:rsid w:val="007659BA"/>
    <w:rsid w:val="00777412"/>
    <w:rsid w:val="00783336"/>
    <w:rsid w:val="00790A04"/>
    <w:rsid w:val="00794ACC"/>
    <w:rsid w:val="00795E5E"/>
    <w:rsid w:val="007963F9"/>
    <w:rsid w:val="007A16DC"/>
    <w:rsid w:val="007B1C5D"/>
    <w:rsid w:val="007C08F6"/>
    <w:rsid w:val="007C434A"/>
    <w:rsid w:val="007E047A"/>
    <w:rsid w:val="007E7C8E"/>
    <w:rsid w:val="007F4251"/>
    <w:rsid w:val="007F63F4"/>
    <w:rsid w:val="007F6D0C"/>
    <w:rsid w:val="00800099"/>
    <w:rsid w:val="00801019"/>
    <w:rsid w:val="00816DCD"/>
    <w:rsid w:val="00822BA7"/>
    <w:rsid w:val="008258C3"/>
    <w:rsid w:val="008261BF"/>
    <w:rsid w:val="00831332"/>
    <w:rsid w:val="008410E8"/>
    <w:rsid w:val="00841942"/>
    <w:rsid w:val="00857204"/>
    <w:rsid w:val="00857A0C"/>
    <w:rsid w:val="00860858"/>
    <w:rsid w:val="00870489"/>
    <w:rsid w:val="008A30E1"/>
    <w:rsid w:val="008B3C8C"/>
    <w:rsid w:val="008B6C37"/>
    <w:rsid w:val="008C3EB0"/>
    <w:rsid w:val="008C7A53"/>
    <w:rsid w:val="008D065E"/>
    <w:rsid w:val="008D5A15"/>
    <w:rsid w:val="008D5BCE"/>
    <w:rsid w:val="008E202F"/>
    <w:rsid w:val="008F6AD8"/>
    <w:rsid w:val="00906780"/>
    <w:rsid w:val="00907CC5"/>
    <w:rsid w:val="00912214"/>
    <w:rsid w:val="00914D1D"/>
    <w:rsid w:val="00915397"/>
    <w:rsid w:val="00925FE0"/>
    <w:rsid w:val="009301BB"/>
    <w:rsid w:val="0093048A"/>
    <w:rsid w:val="00932281"/>
    <w:rsid w:val="009335A9"/>
    <w:rsid w:val="009466CF"/>
    <w:rsid w:val="00954605"/>
    <w:rsid w:val="00954AF3"/>
    <w:rsid w:val="00971134"/>
    <w:rsid w:val="00974011"/>
    <w:rsid w:val="00976A2C"/>
    <w:rsid w:val="00980F23"/>
    <w:rsid w:val="00982BE1"/>
    <w:rsid w:val="00983D33"/>
    <w:rsid w:val="00985F3E"/>
    <w:rsid w:val="00987D41"/>
    <w:rsid w:val="009A075C"/>
    <w:rsid w:val="009B05AE"/>
    <w:rsid w:val="009B2F42"/>
    <w:rsid w:val="009C3E7B"/>
    <w:rsid w:val="009E0829"/>
    <w:rsid w:val="009E2853"/>
    <w:rsid w:val="009E62D5"/>
    <w:rsid w:val="009F2F81"/>
    <w:rsid w:val="009F3F91"/>
    <w:rsid w:val="009F54A6"/>
    <w:rsid w:val="009F7C37"/>
    <w:rsid w:val="00A076E6"/>
    <w:rsid w:val="00A140D4"/>
    <w:rsid w:val="00A15741"/>
    <w:rsid w:val="00A16070"/>
    <w:rsid w:val="00A26771"/>
    <w:rsid w:val="00A2696C"/>
    <w:rsid w:val="00A3120E"/>
    <w:rsid w:val="00A41BAE"/>
    <w:rsid w:val="00A41E7E"/>
    <w:rsid w:val="00A457E5"/>
    <w:rsid w:val="00A46093"/>
    <w:rsid w:val="00A508E3"/>
    <w:rsid w:val="00A60C2C"/>
    <w:rsid w:val="00A66F89"/>
    <w:rsid w:val="00A7162D"/>
    <w:rsid w:val="00A93C3E"/>
    <w:rsid w:val="00A942D3"/>
    <w:rsid w:val="00AA140E"/>
    <w:rsid w:val="00AA1D88"/>
    <w:rsid w:val="00AA56C9"/>
    <w:rsid w:val="00AA7B0F"/>
    <w:rsid w:val="00AB1F5E"/>
    <w:rsid w:val="00AB77E9"/>
    <w:rsid w:val="00AC0DDF"/>
    <w:rsid w:val="00AC48A6"/>
    <w:rsid w:val="00AE3E66"/>
    <w:rsid w:val="00AF01BE"/>
    <w:rsid w:val="00AF3158"/>
    <w:rsid w:val="00B0198D"/>
    <w:rsid w:val="00B22E82"/>
    <w:rsid w:val="00B24FF7"/>
    <w:rsid w:val="00B2768C"/>
    <w:rsid w:val="00B45587"/>
    <w:rsid w:val="00B5022E"/>
    <w:rsid w:val="00B50342"/>
    <w:rsid w:val="00B65018"/>
    <w:rsid w:val="00B73542"/>
    <w:rsid w:val="00B75ED3"/>
    <w:rsid w:val="00B76A4B"/>
    <w:rsid w:val="00B814E8"/>
    <w:rsid w:val="00B92586"/>
    <w:rsid w:val="00B94693"/>
    <w:rsid w:val="00B9769B"/>
    <w:rsid w:val="00BA3689"/>
    <w:rsid w:val="00BC16B2"/>
    <w:rsid w:val="00BC4C62"/>
    <w:rsid w:val="00BC54F2"/>
    <w:rsid w:val="00BC66FC"/>
    <w:rsid w:val="00BD4DFF"/>
    <w:rsid w:val="00BD783E"/>
    <w:rsid w:val="00BE121A"/>
    <w:rsid w:val="00BE21B6"/>
    <w:rsid w:val="00BE6A45"/>
    <w:rsid w:val="00BF1BDB"/>
    <w:rsid w:val="00BF2B54"/>
    <w:rsid w:val="00C015F6"/>
    <w:rsid w:val="00C019FC"/>
    <w:rsid w:val="00C07618"/>
    <w:rsid w:val="00C162C9"/>
    <w:rsid w:val="00C170F6"/>
    <w:rsid w:val="00C200EC"/>
    <w:rsid w:val="00C23610"/>
    <w:rsid w:val="00C27E2A"/>
    <w:rsid w:val="00C34E3D"/>
    <w:rsid w:val="00C4048D"/>
    <w:rsid w:val="00C51A87"/>
    <w:rsid w:val="00C51EED"/>
    <w:rsid w:val="00C52063"/>
    <w:rsid w:val="00C61923"/>
    <w:rsid w:val="00C64F82"/>
    <w:rsid w:val="00C8089C"/>
    <w:rsid w:val="00C9327F"/>
    <w:rsid w:val="00C93DFD"/>
    <w:rsid w:val="00CB2975"/>
    <w:rsid w:val="00CC0DBD"/>
    <w:rsid w:val="00CC1844"/>
    <w:rsid w:val="00CC3927"/>
    <w:rsid w:val="00CC43D8"/>
    <w:rsid w:val="00CC5CE9"/>
    <w:rsid w:val="00CE349E"/>
    <w:rsid w:val="00CE6186"/>
    <w:rsid w:val="00CF3A37"/>
    <w:rsid w:val="00CF47F6"/>
    <w:rsid w:val="00CF6F51"/>
    <w:rsid w:val="00CF77A9"/>
    <w:rsid w:val="00D06689"/>
    <w:rsid w:val="00D10DA2"/>
    <w:rsid w:val="00D23696"/>
    <w:rsid w:val="00D267E2"/>
    <w:rsid w:val="00D26BB3"/>
    <w:rsid w:val="00D32E20"/>
    <w:rsid w:val="00D42B9C"/>
    <w:rsid w:val="00D4579E"/>
    <w:rsid w:val="00D45AF0"/>
    <w:rsid w:val="00D509BB"/>
    <w:rsid w:val="00D50ACF"/>
    <w:rsid w:val="00D520F5"/>
    <w:rsid w:val="00D537F5"/>
    <w:rsid w:val="00D5575A"/>
    <w:rsid w:val="00D6153B"/>
    <w:rsid w:val="00D647CC"/>
    <w:rsid w:val="00D82F70"/>
    <w:rsid w:val="00D82FF6"/>
    <w:rsid w:val="00D83B91"/>
    <w:rsid w:val="00D86D74"/>
    <w:rsid w:val="00D9163F"/>
    <w:rsid w:val="00DB0E36"/>
    <w:rsid w:val="00DB4043"/>
    <w:rsid w:val="00DC00E0"/>
    <w:rsid w:val="00DC5AB6"/>
    <w:rsid w:val="00DD2175"/>
    <w:rsid w:val="00DE267E"/>
    <w:rsid w:val="00DF0CDC"/>
    <w:rsid w:val="00DF1043"/>
    <w:rsid w:val="00DF22D0"/>
    <w:rsid w:val="00E10253"/>
    <w:rsid w:val="00E10FFF"/>
    <w:rsid w:val="00E1320A"/>
    <w:rsid w:val="00E14A65"/>
    <w:rsid w:val="00E2068D"/>
    <w:rsid w:val="00E21595"/>
    <w:rsid w:val="00E23F7A"/>
    <w:rsid w:val="00E267A3"/>
    <w:rsid w:val="00E31826"/>
    <w:rsid w:val="00E401D0"/>
    <w:rsid w:val="00E46F61"/>
    <w:rsid w:val="00E508AC"/>
    <w:rsid w:val="00E50B4D"/>
    <w:rsid w:val="00E558F7"/>
    <w:rsid w:val="00E61AA0"/>
    <w:rsid w:val="00E701FD"/>
    <w:rsid w:val="00E77D1F"/>
    <w:rsid w:val="00E81CA3"/>
    <w:rsid w:val="00E842D3"/>
    <w:rsid w:val="00E85337"/>
    <w:rsid w:val="00E91D13"/>
    <w:rsid w:val="00E95D25"/>
    <w:rsid w:val="00EA00BB"/>
    <w:rsid w:val="00EA4E7A"/>
    <w:rsid w:val="00EA4FD3"/>
    <w:rsid w:val="00EB55BF"/>
    <w:rsid w:val="00EC13E2"/>
    <w:rsid w:val="00EE5379"/>
    <w:rsid w:val="00EF574B"/>
    <w:rsid w:val="00F03EC0"/>
    <w:rsid w:val="00F046E8"/>
    <w:rsid w:val="00F07081"/>
    <w:rsid w:val="00F10298"/>
    <w:rsid w:val="00F10AF1"/>
    <w:rsid w:val="00F17847"/>
    <w:rsid w:val="00F2525D"/>
    <w:rsid w:val="00F3179D"/>
    <w:rsid w:val="00F31AD8"/>
    <w:rsid w:val="00F32126"/>
    <w:rsid w:val="00F3243D"/>
    <w:rsid w:val="00F34657"/>
    <w:rsid w:val="00F42096"/>
    <w:rsid w:val="00F541C9"/>
    <w:rsid w:val="00F57CD6"/>
    <w:rsid w:val="00F74CDA"/>
    <w:rsid w:val="00F806B8"/>
    <w:rsid w:val="00F806D7"/>
    <w:rsid w:val="00F81295"/>
    <w:rsid w:val="00F87CA8"/>
    <w:rsid w:val="00F9000D"/>
    <w:rsid w:val="00F917B3"/>
    <w:rsid w:val="00F92E10"/>
    <w:rsid w:val="00F96BAE"/>
    <w:rsid w:val="00F979E1"/>
    <w:rsid w:val="00FA1D99"/>
    <w:rsid w:val="00FA5365"/>
    <w:rsid w:val="00FC67CA"/>
    <w:rsid w:val="00FD2F7F"/>
    <w:rsid w:val="00FD775A"/>
    <w:rsid w:val="00FE03DB"/>
    <w:rsid w:val="00FE3DDA"/>
    <w:rsid w:val="00FF5A86"/>
    <w:rsid w:val="0EC31DF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ko-K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120"/>
      <w:jc w:val="both"/>
    </w:pPr>
    <w:rPr>
      <w:rFonts w:ascii="Times New Roman" w:hAnsi="Times New Roman" w:eastAsiaTheme="minorEastAsia" w:cstheme="minorBidi"/>
      <w:sz w:val="20"/>
      <w:szCs w:val="24"/>
      <w:lang w:val="en-US" w:eastAsia="en-US" w:bidi="ar-SA"/>
    </w:rPr>
  </w:style>
  <w:style w:type="paragraph" w:styleId="2">
    <w:name w:val="heading 1"/>
    <w:basedOn w:val="1"/>
    <w:next w:val="1"/>
    <w:link w:val="44"/>
    <w:qFormat/>
    <w:uiPriority w:val="9"/>
    <w:pPr>
      <w:keepNext/>
      <w:keepLines/>
      <w:spacing w:before="240" w:after="120"/>
      <w:jc w:val="center"/>
      <w:outlineLvl w:val="0"/>
    </w:pPr>
    <w:rPr>
      <w:rFonts w:eastAsiaTheme="majorEastAsia" w:cstheme="majorBidi"/>
      <w:b/>
      <w:sz w:val="24"/>
      <w:szCs w:val="32"/>
    </w:rPr>
  </w:style>
  <w:style w:type="paragraph" w:styleId="3">
    <w:name w:val="heading 2"/>
    <w:basedOn w:val="1"/>
    <w:next w:val="1"/>
    <w:link w:val="45"/>
    <w:unhideWhenUsed/>
    <w:qFormat/>
    <w:uiPriority w:val="9"/>
    <w:pPr>
      <w:keepNext/>
      <w:keepLines/>
      <w:numPr>
        <w:ilvl w:val="0"/>
        <w:numId w:val="1"/>
      </w:numPr>
      <w:spacing w:before="240" w:after="120"/>
      <w:outlineLvl w:val="1"/>
    </w:pPr>
    <w:rPr>
      <w:rFonts w:eastAsiaTheme="majorEastAsia" w:cstheme="majorBidi"/>
      <w:b/>
      <w:caps/>
      <w:szCs w:val="26"/>
    </w:rPr>
  </w:style>
  <w:style w:type="paragraph" w:styleId="4">
    <w:name w:val="heading 3"/>
    <w:basedOn w:val="1"/>
    <w:next w:val="1"/>
    <w:link w:val="46"/>
    <w:unhideWhenUsed/>
    <w:qFormat/>
    <w:uiPriority w:val="9"/>
    <w:pPr>
      <w:keepNext/>
      <w:keepLines/>
      <w:spacing w:before="240" w:after="120"/>
      <w:outlineLvl w:val="2"/>
    </w:pPr>
    <w:rPr>
      <w:rFonts w:eastAsiaTheme="majorEastAsia" w:cstheme="majorBidi"/>
      <w:b/>
    </w:rPr>
  </w:style>
  <w:style w:type="paragraph" w:styleId="5">
    <w:name w:val="heading 4"/>
    <w:basedOn w:val="1"/>
    <w:next w:val="1"/>
    <w:link w:val="47"/>
    <w:semiHidden/>
    <w:unhideWhenUsed/>
    <w:qFormat/>
    <w:uiPriority w:val="0"/>
    <w:pPr>
      <w:numPr>
        <w:ilvl w:val="3"/>
        <w:numId w:val="2"/>
      </w:numPr>
      <w:spacing w:before="0" w:after="200" w:line="256" w:lineRule="auto"/>
      <w:outlineLvl w:val="3"/>
    </w:pPr>
    <w:rPr>
      <w:rFonts w:asciiTheme="minorHAnsi" w:hAnsiTheme="minorHAnsi" w:eastAsiaTheme="minorHAnsi"/>
      <w:sz w:val="22"/>
      <w:szCs w:val="22"/>
      <w:lang w:val="it-IT"/>
    </w:rPr>
  </w:style>
  <w:style w:type="paragraph" w:styleId="6">
    <w:name w:val="heading 6"/>
    <w:basedOn w:val="1"/>
    <w:next w:val="1"/>
    <w:link w:val="48"/>
    <w:semiHidden/>
    <w:unhideWhenUsed/>
    <w:qFormat/>
    <w:uiPriority w:val="0"/>
    <w:pPr>
      <w:numPr>
        <w:ilvl w:val="5"/>
        <w:numId w:val="2"/>
      </w:numPr>
      <w:spacing w:before="240" w:after="60" w:line="256" w:lineRule="auto"/>
      <w:outlineLvl w:val="5"/>
    </w:pPr>
    <w:rPr>
      <w:rFonts w:asciiTheme="minorHAnsi" w:hAnsiTheme="minorHAnsi" w:eastAsiaTheme="minorHAnsi"/>
      <w:i/>
      <w:sz w:val="22"/>
      <w:szCs w:val="22"/>
      <w:lang w:val="it-IT"/>
    </w:rPr>
  </w:style>
  <w:style w:type="paragraph" w:styleId="7">
    <w:name w:val="heading 7"/>
    <w:basedOn w:val="1"/>
    <w:next w:val="1"/>
    <w:link w:val="49"/>
    <w:semiHidden/>
    <w:unhideWhenUsed/>
    <w:qFormat/>
    <w:uiPriority w:val="0"/>
    <w:pPr>
      <w:numPr>
        <w:ilvl w:val="6"/>
        <w:numId w:val="2"/>
      </w:numPr>
      <w:spacing w:before="240" w:after="60" w:line="256" w:lineRule="auto"/>
      <w:outlineLvl w:val="6"/>
    </w:pPr>
    <w:rPr>
      <w:rFonts w:ascii="Arial" w:hAnsi="Arial" w:eastAsiaTheme="minorHAnsi"/>
      <w:szCs w:val="22"/>
      <w:lang w:val="it-IT"/>
    </w:rPr>
  </w:style>
  <w:style w:type="paragraph" w:styleId="8">
    <w:name w:val="heading 8"/>
    <w:basedOn w:val="1"/>
    <w:next w:val="1"/>
    <w:link w:val="50"/>
    <w:semiHidden/>
    <w:unhideWhenUsed/>
    <w:qFormat/>
    <w:uiPriority w:val="0"/>
    <w:pPr>
      <w:numPr>
        <w:ilvl w:val="7"/>
        <w:numId w:val="2"/>
      </w:numPr>
      <w:spacing w:before="240" w:after="60" w:line="256" w:lineRule="auto"/>
      <w:outlineLvl w:val="7"/>
    </w:pPr>
    <w:rPr>
      <w:rFonts w:ascii="Arial" w:hAnsi="Arial" w:eastAsiaTheme="minorHAnsi"/>
      <w:i/>
      <w:szCs w:val="22"/>
      <w:lang w:val="it-IT"/>
    </w:rPr>
  </w:style>
  <w:style w:type="paragraph" w:styleId="9">
    <w:name w:val="heading 9"/>
    <w:basedOn w:val="1"/>
    <w:next w:val="1"/>
    <w:link w:val="51"/>
    <w:semiHidden/>
    <w:unhideWhenUsed/>
    <w:qFormat/>
    <w:uiPriority w:val="0"/>
    <w:pPr>
      <w:numPr>
        <w:ilvl w:val="8"/>
        <w:numId w:val="2"/>
      </w:numPr>
      <w:spacing w:before="240" w:after="60" w:line="256" w:lineRule="auto"/>
      <w:outlineLvl w:val="8"/>
    </w:pPr>
    <w:rPr>
      <w:rFonts w:ascii="Arial" w:hAnsi="Arial" w:eastAsiaTheme="minorHAnsi"/>
      <w:b/>
      <w:i/>
      <w:sz w:val="18"/>
      <w:szCs w:val="22"/>
      <w:lang w:val="it-IT"/>
    </w:rPr>
  </w:style>
  <w:style w:type="character" w:default="1" w:styleId="10">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12">
    <w:name w:val="Balloon Text"/>
    <w:basedOn w:val="1"/>
    <w:link w:val="27"/>
    <w:semiHidden/>
    <w:unhideWhenUsed/>
    <w:qFormat/>
    <w:uiPriority w:val="99"/>
    <w:rPr>
      <w:rFonts w:ascii="Lucida Grande" w:hAnsi="Lucida Grande" w:cs="Lucida Grande"/>
      <w:sz w:val="18"/>
      <w:szCs w:val="18"/>
    </w:rPr>
  </w:style>
  <w:style w:type="character" w:styleId="13">
    <w:name w:val="annotation reference"/>
    <w:basedOn w:val="10"/>
    <w:semiHidden/>
    <w:unhideWhenUsed/>
    <w:uiPriority w:val="99"/>
    <w:rPr>
      <w:sz w:val="18"/>
      <w:szCs w:val="18"/>
    </w:rPr>
  </w:style>
  <w:style w:type="paragraph" w:styleId="14">
    <w:name w:val="annotation text"/>
    <w:basedOn w:val="1"/>
    <w:link w:val="30"/>
    <w:semiHidden/>
    <w:unhideWhenUsed/>
    <w:qFormat/>
    <w:uiPriority w:val="99"/>
  </w:style>
  <w:style w:type="paragraph" w:styleId="15">
    <w:name w:val="annotation subject"/>
    <w:basedOn w:val="14"/>
    <w:next w:val="14"/>
    <w:link w:val="31"/>
    <w:semiHidden/>
    <w:unhideWhenUsed/>
    <w:uiPriority w:val="99"/>
    <w:rPr>
      <w:b/>
      <w:bCs/>
    </w:rPr>
  </w:style>
  <w:style w:type="paragraph" w:styleId="16">
    <w:name w:val="footer"/>
    <w:basedOn w:val="1"/>
    <w:link w:val="43"/>
    <w:unhideWhenUsed/>
    <w:qFormat/>
    <w:uiPriority w:val="99"/>
    <w:pPr>
      <w:tabs>
        <w:tab w:val="center" w:pos="4513"/>
        <w:tab w:val="right" w:pos="9026"/>
      </w:tabs>
      <w:snapToGrid w:val="0"/>
    </w:pPr>
  </w:style>
  <w:style w:type="paragraph" w:styleId="17">
    <w:name w:val="header"/>
    <w:basedOn w:val="1"/>
    <w:link w:val="42"/>
    <w:unhideWhenUsed/>
    <w:uiPriority w:val="99"/>
    <w:pPr>
      <w:tabs>
        <w:tab w:val="center" w:pos="4513"/>
        <w:tab w:val="right" w:pos="9026"/>
      </w:tabs>
      <w:snapToGrid w:val="0"/>
    </w:pPr>
  </w:style>
  <w:style w:type="character" w:styleId="18">
    <w:name w:val="Hyperlink"/>
    <w:basedOn w:val="10"/>
    <w:unhideWhenUsed/>
    <w:uiPriority w:val="99"/>
    <w:rPr>
      <w:color w:val="0000FF" w:themeColor="hyperlink"/>
      <w:u w:val="single"/>
      <w14:textFill>
        <w14:solidFill>
          <w14:schemeClr w14:val="hlink"/>
        </w14:solidFill>
      </w14:textFill>
    </w:rPr>
  </w:style>
  <w:style w:type="paragraph" w:styleId="19">
    <w:name w:val="Subtitle"/>
    <w:basedOn w:val="1"/>
    <w:next w:val="1"/>
    <w:link w:val="58"/>
    <w:qFormat/>
    <w:uiPriority w:val="11"/>
    <w:rPr>
      <w:b/>
      <w:color w:val="595959" w:themeColor="text1" w:themeTint="A6"/>
      <w:spacing w:val="15"/>
      <w:szCs w:val="22"/>
      <w14:textFill>
        <w14:solidFill>
          <w14:schemeClr w14:val="tx1">
            <w14:lumMod w14:val="65000"/>
            <w14:lumOff w14:val="35000"/>
          </w14:schemeClr>
        </w14:solidFill>
      </w14:textFill>
    </w:rPr>
  </w:style>
  <w:style w:type="table" w:styleId="20">
    <w:name w:val="Table Grid"/>
    <w:basedOn w:val="11"/>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1">
    <w:name w:val="toc 1"/>
    <w:basedOn w:val="1"/>
    <w:next w:val="1"/>
    <w:unhideWhenUsed/>
    <w:uiPriority w:val="39"/>
    <w:pPr>
      <w:spacing w:after="100"/>
    </w:pPr>
  </w:style>
  <w:style w:type="paragraph" w:styleId="22">
    <w:name w:val="toc 2"/>
    <w:basedOn w:val="1"/>
    <w:next w:val="1"/>
    <w:unhideWhenUsed/>
    <w:uiPriority w:val="39"/>
    <w:pPr>
      <w:spacing w:after="100"/>
      <w:ind w:left="240"/>
    </w:pPr>
  </w:style>
  <w:style w:type="paragraph" w:styleId="23">
    <w:name w:val="toc 3"/>
    <w:basedOn w:val="1"/>
    <w:next w:val="1"/>
    <w:unhideWhenUsed/>
    <w:uiPriority w:val="39"/>
    <w:pPr>
      <w:spacing w:after="100"/>
      <w:ind w:left="400"/>
    </w:pPr>
  </w:style>
  <w:style w:type="paragraph" w:customStyle="1" w:styleId="24">
    <w:name w:val="Body Text1"/>
    <w:basedOn w:val="1"/>
    <w:uiPriority w:val="0"/>
    <w:pPr>
      <w:spacing w:after="280" w:line="280" w:lineRule="exact"/>
    </w:pPr>
    <w:rPr>
      <w:rFonts w:ascii="New York" w:hAnsi="New York" w:eastAsia="Malgun Gothic" w:cs="Times New Roman"/>
      <w:sz w:val="18"/>
      <w:szCs w:val="20"/>
      <w:lang w:val="en-GB" w:eastAsia="en-GB"/>
    </w:rPr>
  </w:style>
  <w:style w:type="paragraph" w:customStyle="1" w:styleId="25">
    <w:name w:val="Subhead"/>
    <w:basedOn w:val="1"/>
    <w:uiPriority w:val="0"/>
    <w:pPr>
      <w:keepNext/>
      <w:tabs>
        <w:tab w:val="left" w:pos="340"/>
      </w:tabs>
      <w:spacing w:line="280" w:lineRule="exact"/>
    </w:pPr>
    <w:rPr>
      <w:rFonts w:ascii="New York" w:hAnsi="New York" w:eastAsia="Malgun Gothic" w:cs="Times New Roman"/>
      <w:sz w:val="18"/>
      <w:szCs w:val="20"/>
      <w:lang w:val="en-GB" w:eastAsia="en-GB"/>
    </w:rPr>
  </w:style>
  <w:style w:type="paragraph" w:customStyle="1" w:styleId="26">
    <w:name w:val="Body indent"/>
    <w:basedOn w:val="1"/>
    <w:qFormat/>
    <w:uiPriority w:val="0"/>
    <w:pPr>
      <w:tabs>
        <w:tab w:val="left" w:pos="312"/>
        <w:tab w:val="left" w:pos="620"/>
      </w:tabs>
      <w:spacing w:after="280" w:line="280" w:lineRule="exact"/>
      <w:ind w:left="312" w:hanging="312"/>
    </w:pPr>
    <w:rPr>
      <w:rFonts w:ascii="New York" w:hAnsi="New York" w:eastAsia="Malgun Gothic" w:cs="Times New Roman"/>
      <w:sz w:val="18"/>
      <w:szCs w:val="20"/>
      <w:lang w:val="en-GB" w:eastAsia="en-GB"/>
    </w:rPr>
  </w:style>
  <w:style w:type="character" w:customStyle="1" w:styleId="27">
    <w:name w:val="Balloon Text Char"/>
    <w:basedOn w:val="10"/>
    <w:link w:val="12"/>
    <w:semiHidden/>
    <w:uiPriority w:val="99"/>
    <w:rPr>
      <w:rFonts w:ascii="Lucida Grande" w:hAnsi="Lucida Grande" w:cs="Lucida Grande"/>
      <w:sz w:val="18"/>
      <w:szCs w:val="18"/>
    </w:rPr>
  </w:style>
  <w:style w:type="paragraph" w:styleId="28">
    <w:name w:val="List Paragraph"/>
    <w:basedOn w:val="1"/>
    <w:qFormat/>
    <w:uiPriority w:val="34"/>
    <w:pPr>
      <w:numPr>
        <w:ilvl w:val="0"/>
        <w:numId w:val="3"/>
      </w:numPr>
      <w:spacing w:after="120"/>
    </w:pPr>
  </w:style>
  <w:style w:type="paragraph" w:customStyle="1" w:styleId="29">
    <w:name w:val="색상형 목록 - 강조색 11"/>
    <w:basedOn w:val="1"/>
    <w:qFormat/>
    <w:uiPriority w:val="0"/>
    <w:pPr>
      <w:ind w:left="720"/>
      <w:contextualSpacing/>
    </w:pPr>
    <w:rPr>
      <w:rFonts w:eastAsia="Malgun Gothic" w:cs="Times New Roman"/>
      <w:szCs w:val="20"/>
    </w:rPr>
  </w:style>
  <w:style w:type="character" w:customStyle="1" w:styleId="30">
    <w:name w:val="Comment Text Char"/>
    <w:basedOn w:val="10"/>
    <w:link w:val="14"/>
    <w:semiHidden/>
    <w:qFormat/>
    <w:uiPriority w:val="99"/>
  </w:style>
  <w:style w:type="character" w:customStyle="1" w:styleId="31">
    <w:name w:val="Comment Subject Char"/>
    <w:basedOn w:val="30"/>
    <w:link w:val="15"/>
    <w:semiHidden/>
    <w:uiPriority w:val="99"/>
    <w:rPr>
      <w:b/>
      <w:bCs/>
    </w:rPr>
  </w:style>
  <w:style w:type="paragraph" w:customStyle="1" w:styleId="32">
    <w:name w:val="Revision"/>
    <w:hidden/>
    <w:semiHidden/>
    <w:qFormat/>
    <w:uiPriority w:val="99"/>
    <w:rPr>
      <w:rFonts w:asciiTheme="minorHAnsi" w:hAnsiTheme="minorHAnsi" w:eastAsiaTheme="minorEastAsia" w:cstheme="minorBidi"/>
      <w:sz w:val="24"/>
      <w:szCs w:val="24"/>
      <w:lang w:val="en-US" w:eastAsia="en-US" w:bidi="ar-SA"/>
    </w:rPr>
  </w:style>
  <w:style w:type="paragraph" w:customStyle="1" w:styleId="33">
    <w:name w:val="Tabbed_L1"/>
    <w:basedOn w:val="1"/>
    <w:next w:val="1"/>
    <w:uiPriority w:val="0"/>
    <w:pPr>
      <w:numPr>
        <w:ilvl w:val="0"/>
        <w:numId w:val="4"/>
      </w:numPr>
      <w:spacing w:after="240"/>
      <w:outlineLvl w:val="0"/>
    </w:pPr>
    <w:rPr>
      <w:rFonts w:eastAsia="Malgun Gothic" w:cs="Times New Roman"/>
    </w:rPr>
  </w:style>
  <w:style w:type="paragraph" w:customStyle="1" w:styleId="34">
    <w:name w:val="Tabbed_L2"/>
    <w:basedOn w:val="33"/>
    <w:next w:val="1"/>
    <w:uiPriority w:val="0"/>
    <w:pPr>
      <w:numPr>
        <w:ilvl w:val="1"/>
      </w:numPr>
      <w:outlineLvl w:val="1"/>
    </w:pPr>
  </w:style>
  <w:style w:type="paragraph" w:customStyle="1" w:styleId="35">
    <w:name w:val="Tabbed_L3"/>
    <w:basedOn w:val="34"/>
    <w:next w:val="1"/>
    <w:uiPriority w:val="0"/>
    <w:pPr>
      <w:numPr>
        <w:ilvl w:val="2"/>
      </w:numPr>
      <w:outlineLvl w:val="2"/>
    </w:pPr>
  </w:style>
  <w:style w:type="paragraph" w:customStyle="1" w:styleId="36">
    <w:name w:val="Tabbed_L4"/>
    <w:basedOn w:val="35"/>
    <w:next w:val="1"/>
    <w:uiPriority w:val="0"/>
    <w:pPr>
      <w:numPr>
        <w:ilvl w:val="3"/>
      </w:numPr>
      <w:outlineLvl w:val="3"/>
    </w:pPr>
  </w:style>
  <w:style w:type="paragraph" w:customStyle="1" w:styleId="37">
    <w:name w:val="Tabbed_L5"/>
    <w:basedOn w:val="36"/>
    <w:next w:val="1"/>
    <w:uiPriority w:val="0"/>
    <w:pPr>
      <w:numPr>
        <w:ilvl w:val="4"/>
      </w:numPr>
      <w:outlineLvl w:val="4"/>
    </w:pPr>
  </w:style>
  <w:style w:type="paragraph" w:customStyle="1" w:styleId="38">
    <w:name w:val="Tabbed_L6"/>
    <w:basedOn w:val="37"/>
    <w:next w:val="1"/>
    <w:uiPriority w:val="0"/>
    <w:pPr>
      <w:numPr>
        <w:ilvl w:val="5"/>
      </w:numPr>
      <w:outlineLvl w:val="5"/>
    </w:pPr>
  </w:style>
  <w:style w:type="paragraph" w:customStyle="1" w:styleId="39">
    <w:name w:val="Tabbed_L7"/>
    <w:basedOn w:val="38"/>
    <w:next w:val="1"/>
    <w:uiPriority w:val="0"/>
    <w:pPr>
      <w:numPr>
        <w:ilvl w:val="6"/>
      </w:numPr>
      <w:outlineLvl w:val="6"/>
    </w:pPr>
  </w:style>
  <w:style w:type="paragraph" w:customStyle="1" w:styleId="40">
    <w:name w:val="Tabbed_L8"/>
    <w:basedOn w:val="39"/>
    <w:next w:val="1"/>
    <w:uiPriority w:val="0"/>
    <w:pPr>
      <w:numPr>
        <w:ilvl w:val="7"/>
      </w:numPr>
      <w:outlineLvl w:val="7"/>
    </w:pPr>
  </w:style>
  <w:style w:type="paragraph" w:customStyle="1" w:styleId="41">
    <w:name w:val="Tabbed_L9"/>
    <w:basedOn w:val="40"/>
    <w:next w:val="1"/>
    <w:uiPriority w:val="0"/>
    <w:pPr>
      <w:numPr>
        <w:ilvl w:val="8"/>
      </w:numPr>
      <w:outlineLvl w:val="8"/>
    </w:pPr>
  </w:style>
  <w:style w:type="character" w:customStyle="1" w:styleId="42">
    <w:name w:val="Header Char"/>
    <w:basedOn w:val="10"/>
    <w:link w:val="17"/>
    <w:uiPriority w:val="99"/>
  </w:style>
  <w:style w:type="character" w:customStyle="1" w:styleId="43">
    <w:name w:val="Footer Char"/>
    <w:basedOn w:val="10"/>
    <w:link w:val="16"/>
    <w:uiPriority w:val="99"/>
  </w:style>
  <w:style w:type="character" w:customStyle="1" w:styleId="44">
    <w:name w:val="Heading 1 Char"/>
    <w:basedOn w:val="10"/>
    <w:link w:val="2"/>
    <w:uiPriority w:val="9"/>
    <w:rPr>
      <w:rFonts w:ascii="Times New Roman" w:hAnsi="Times New Roman" w:eastAsiaTheme="majorEastAsia" w:cstheme="majorBidi"/>
      <w:b/>
      <w:szCs w:val="32"/>
    </w:rPr>
  </w:style>
  <w:style w:type="character" w:customStyle="1" w:styleId="45">
    <w:name w:val="Heading 2 Char"/>
    <w:basedOn w:val="10"/>
    <w:link w:val="3"/>
    <w:uiPriority w:val="9"/>
    <w:rPr>
      <w:rFonts w:ascii="Times New Roman" w:hAnsi="Times New Roman" w:eastAsiaTheme="majorEastAsia" w:cstheme="majorBidi"/>
      <w:b/>
      <w:caps/>
      <w:sz w:val="20"/>
      <w:szCs w:val="26"/>
    </w:rPr>
  </w:style>
  <w:style w:type="character" w:customStyle="1" w:styleId="46">
    <w:name w:val="Heading 3 Char"/>
    <w:basedOn w:val="10"/>
    <w:link w:val="4"/>
    <w:uiPriority w:val="9"/>
    <w:rPr>
      <w:rFonts w:ascii="Times New Roman" w:hAnsi="Times New Roman" w:eastAsiaTheme="majorEastAsia" w:cstheme="majorBidi"/>
      <w:b/>
      <w:sz w:val="20"/>
    </w:rPr>
  </w:style>
  <w:style w:type="character" w:customStyle="1" w:styleId="47">
    <w:name w:val="Heading 4 Char"/>
    <w:basedOn w:val="10"/>
    <w:link w:val="5"/>
    <w:semiHidden/>
    <w:uiPriority w:val="0"/>
    <w:rPr>
      <w:rFonts w:eastAsiaTheme="minorHAnsi"/>
      <w:sz w:val="22"/>
      <w:szCs w:val="22"/>
      <w:lang w:val="it-IT"/>
    </w:rPr>
  </w:style>
  <w:style w:type="character" w:customStyle="1" w:styleId="48">
    <w:name w:val="Heading 6 Char"/>
    <w:basedOn w:val="10"/>
    <w:link w:val="6"/>
    <w:semiHidden/>
    <w:uiPriority w:val="0"/>
    <w:rPr>
      <w:rFonts w:eastAsiaTheme="minorHAnsi"/>
      <w:i/>
      <w:sz w:val="22"/>
      <w:szCs w:val="22"/>
      <w:lang w:val="it-IT"/>
    </w:rPr>
  </w:style>
  <w:style w:type="character" w:customStyle="1" w:styleId="49">
    <w:name w:val="Heading 7 Char"/>
    <w:basedOn w:val="10"/>
    <w:link w:val="7"/>
    <w:semiHidden/>
    <w:uiPriority w:val="0"/>
    <w:rPr>
      <w:rFonts w:ascii="Arial" w:hAnsi="Arial" w:eastAsiaTheme="minorHAnsi"/>
      <w:szCs w:val="22"/>
      <w:lang w:val="it-IT"/>
    </w:rPr>
  </w:style>
  <w:style w:type="character" w:customStyle="1" w:styleId="50">
    <w:name w:val="Heading 8 Char"/>
    <w:basedOn w:val="10"/>
    <w:link w:val="8"/>
    <w:semiHidden/>
    <w:uiPriority w:val="0"/>
    <w:rPr>
      <w:rFonts w:ascii="Arial" w:hAnsi="Arial" w:eastAsiaTheme="minorHAnsi"/>
      <w:i/>
      <w:szCs w:val="22"/>
      <w:lang w:val="it-IT"/>
    </w:rPr>
  </w:style>
  <w:style w:type="character" w:customStyle="1" w:styleId="51">
    <w:name w:val="Heading 9 Char"/>
    <w:basedOn w:val="10"/>
    <w:link w:val="9"/>
    <w:semiHidden/>
    <w:uiPriority w:val="0"/>
    <w:rPr>
      <w:rFonts w:ascii="Arial" w:hAnsi="Arial" w:eastAsiaTheme="minorHAnsi"/>
      <w:b/>
      <w:i/>
      <w:sz w:val="18"/>
      <w:szCs w:val="22"/>
      <w:lang w:val="it-IT"/>
    </w:rPr>
  </w:style>
  <w:style w:type="paragraph" w:customStyle="1" w:styleId="52">
    <w:name w:val="Header 1 - Clauses"/>
    <w:basedOn w:val="1"/>
    <w:uiPriority w:val="0"/>
    <w:pPr>
      <w:numPr>
        <w:ilvl w:val="0"/>
        <w:numId w:val="2"/>
      </w:numPr>
      <w:spacing w:before="0" w:after="160" w:line="256" w:lineRule="auto"/>
    </w:pPr>
    <w:rPr>
      <w:rFonts w:asciiTheme="minorHAnsi" w:hAnsiTheme="minorHAnsi" w:eastAsiaTheme="minorHAnsi"/>
      <w:b/>
      <w:sz w:val="22"/>
      <w:szCs w:val="22"/>
      <w:lang w:val="it-IT"/>
    </w:rPr>
  </w:style>
  <w:style w:type="character" w:customStyle="1" w:styleId="53">
    <w:name w:val="Header 2 - SubClauses Char Char"/>
    <w:link w:val="54"/>
    <w:locked/>
    <w:uiPriority w:val="0"/>
    <w:rPr>
      <w:rFonts w:eastAsiaTheme="minorHAnsi"/>
      <w:sz w:val="22"/>
      <w:szCs w:val="22"/>
      <w:lang w:val="it-IT"/>
    </w:rPr>
  </w:style>
  <w:style w:type="paragraph" w:customStyle="1" w:styleId="54">
    <w:name w:val="Header 2 - SubClauses"/>
    <w:basedOn w:val="1"/>
    <w:link w:val="53"/>
    <w:uiPriority w:val="0"/>
    <w:pPr>
      <w:numPr>
        <w:ilvl w:val="1"/>
        <w:numId w:val="2"/>
      </w:numPr>
      <w:tabs>
        <w:tab w:val="left" w:pos="619"/>
      </w:tabs>
      <w:spacing w:before="0" w:after="200" w:line="256" w:lineRule="auto"/>
    </w:pPr>
    <w:rPr>
      <w:rFonts w:asciiTheme="minorHAnsi" w:hAnsiTheme="minorHAnsi" w:eastAsiaTheme="minorHAnsi"/>
      <w:sz w:val="22"/>
      <w:szCs w:val="22"/>
      <w:lang w:val="it-IT"/>
    </w:rPr>
  </w:style>
  <w:style w:type="paragraph" w:customStyle="1" w:styleId="55">
    <w:name w:val="Header 3 - Paragraph"/>
    <w:basedOn w:val="1"/>
    <w:uiPriority w:val="0"/>
    <w:pPr>
      <w:numPr>
        <w:ilvl w:val="2"/>
        <w:numId w:val="2"/>
      </w:numPr>
      <w:spacing w:before="0" w:after="200" w:line="256" w:lineRule="auto"/>
    </w:pPr>
    <w:rPr>
      <w:rFonts w:asciiTheme="minorHAnsi" w:hAnsiTheme="minorHAnsi" w:eastAsiaTheme="minorHAnsi"/>
      <w:sz w:val="22"/>
      <w:szCs w:val="22"/>
      <w:lang w:val="it-IT"/>
    </w:rPr>
  </w:style>
  <w:style w:type="paragraph" w:styleId="56">
    <w:name w:val="No Spacing"/>
    <w:qFormat/>
    <w:uiPriority w:val="1"/>
    <w:pPr>
      <w:jc w:val="both"/>
    </w:pPr>
    <w:rPr>
      <w:rFonts w:ascii="Calibri" w:hAnsi="Calibri" w:eastAsiaTheme="minorEastAsia" w:cstheme="minorBidi"/>
      <w:sz w:val="22"/>
      <w:szCs w:val="24"/>
      <w:lang w:val="en-US" w:eastAsia="en-US" w:bidi="ar-SA"/>
    </w:rPr>
  </w:style>
  <w:style w:type="paragraph" w:customStyle="1" w:styleId="57">
    <w:name w:val="TOC Heading"/>
    <w:basedOn w:val="2"/>
    <w:next w:val="1"/>
    <w:unhideWhenUsed/>
    <w:qFormat/>
    <w:uiPriority w:val="39"/>
    <w:pPr>
      <w:spacing w:after="0" w:line="259" w:lineRule="auto"/>
      <w:outlineLvl w:val="9"/>
    </w:pPr>
    <w:rPr>
      <w:color w:val="376092" w:themeColor="accent1" w:themeShade="BF"/>
      <w:lang w:val="it-IT" w:eastAsia="it-IT"/>
    </w:rPr>
  </w:style>
  <w:style w:type="character" w:customStyle="1" w:styleId="58">
    <w:name w:val="Subtitle Char"/>
    <w:basedOn w:val="10"/>
    <w:link w:val="19"/>
    <w:uiPriority w:val="11"/>
    <w:rPr>
      <w:rFonts w:ascii="Times New Roman" w:hAnsi="Times New Roman"/>
      <w:b/>
      <w:color w:val="595959" w:themeColor="text1" w:themeTint="A6"/>
      <w:spacing w:val="15"/>
      <w:sz w:val="20"/>
      <w:szCs w:val="22"/>
      <w14:textFill>
        <w14:solidFill>
          <w14:schemeClr w14:val="tx1">
            <w14:lumMod w14:val="65000"/>
            <w14:lumOff w14:val="35000"/>
          </w14:schemeClr>
        </w14:solidFill>
      </w14:textFill>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1.xml"/><Relationship Id="rId5" Type="http://schemas.openxmlformats.org/officeDocument/2006/relationships/footnotes" Target="footnotes.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6" Type="http://schemas.microsoft.com/office/2011/relationships/people" Target="people.xml"/><Relationship Id="rId15" Type="http://schemas.openxmlformats.org/officeDocument/2006/relationships/fontTable" Target="fontTable.xml"/><Relationship Id="rId14" Type="http://schemas.openxmlformats.org/officeDocument/2006/relationships/customXml" Target="../customXml/item5.xml"/><Relationship Id="rId13" Type="http://schemas.openxmlformats.org/officeDocument/2006/relationships/customXml" Target="../customXml/item4.xml"/><Relationship Id="rId12" Type="http://schemas.openxmlformats.org/officeDocument/2006/relationships/customXml" Target="../customXml/item3.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5705770211edb1ba0730f0877ff902a3">
  <xsd:schema xmlns:xsd="http://www.w3.org/2001/XMLSchema" xmlns:xs="http://www.w3.org/2001/XMLSchema" xmlns:p="http://schemas.microsoft.com/office/2006/metadata/properties" targetNamespace="http://schemas.microsoft.com/office/2006/metadata/properties" ma:root="true" ma:fieldsID="03498d81624ef822447c67fd40a3e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D2E396E-4A4A-40C6-8F1B-E644D5A2A96F}">
  <ds:schemaRefs/>
</ds:datastoreItem>
</file>

<file path=customXml/itemProps3.xml><?xml version="1.0" encoding="utf-8"?>
<ds:datastoreItem xmlns:ds="http://schemas.openxmlformats.org/officeDocument/2006/customXml" ds:itemID="{8FD0305B-0268-4B5C-A6B6-F045F52A90C5}">
  <ds:schemaRefs/>
</ds:datastoreItem>
</file>

<file path=customXml/itemProps4.xml><?xml version="1.0" encoding="utf-8"?>
<ds:datastoreItem xmlns:ds="http://schemas.openxmlformats.org/officeDocument/2006/customXml" ds:itemID="{5223111A-A142-4DDA-A51D-3B519A524626}">
  <ds:schemaRefs/>
</ds:datastoreItem>
</file>

<file path=customXml/itemProps5.xml><?xml version="1.0" encoding="utf-8"?>
<ds:datastoreItem xmlns:ds="http://schemas.openxmlformats.org/officeDocument/2006/customXml" ds:itemID="{46E96EC3-8B58-43D4-973A-BC2258B233D3}">
  <ds:schemaRefs/>
</ds:datastoreItem>
</file>

<file path=docProps/app.xml><?xml version="1.0" encoding="utf-8"?>
<Properties xmlns="http://schemas.openxmlformats.org/officeDocument/2006/extended-properties" xmlns:vt="http://schemas.openxmlformats.org/officeDocument/2006/docPropsVTypes">
  <Template>Normal</Template>
  <Pages>13</Pages>
  <Words>6114</Words>
  <Characters>34855</Characters>
  <Lines>290</Lines>
  <Paragraphs>81</Paragraphs>
  <TotalTime>1862</TotalTime>
  <ScaleCrop>false</ScaleCrop>
  <LinksUpToDate>false</LinksUpToDate>
  <CharactersWithSpaces>40888</CharactersWithSpaces>
  <Application>WPS Office_11.2.0.10017_F1E327BC-269C-435d-A152-05C5408002CA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2019-10-04T07:59:00Z</dcterms:created>
  <dc:creator>m.dinelli@gmail.com;Sven Erik Hargeskog</dc:creator>
  <cp:lastModifiedBy>HI Maritaake Ioane</cp:lastModifiedBy>
  <cp:lastPrinted>2018-11-19T22:11:00Z</cp:lastPrinted>
  <dcterms:modified xsi:type="dcterms:W3CDTF">2021-03-08T22:38:46Z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1033-11.2.0.10017</vt:lpwstr>
  </property>
</Properties>
</file>